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 w:cs="黑体"/>
          <w:sz w:val="32"/>
          <w:szCs w:val="36"/>
        </w:rPr>
      </w:pPr>
    </w:p>
    <w:p>
      <w:pPr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广东省高校本科专业电子白皮书创建要求</w:t>
      </w:r>
    </w:p>
    <w:p>
      <w:pPr>
        <w:spacing w:line="240" w:lineRule="atLeas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hint="eastAsia" w:ascii="Times New Roman" w:hAnsi="Times New Roman" w:eastAsia="仿宋_GB2312"/>
          <w:sz w:val="32"/>
          <w:szCs w:val="36"/>
        </w:rPr>
        <w:t>1.各专业电子白皮书应为学校或学校部门官方页面，跳转链接应真实可用，不得跳转至任何具有营利性质的页面，否则不予采纳。学校负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6"/>
        </w:rPr>
        <w:t>责对白皮书进行审核，并确保链接地址长期有效，如确需变更应先向省教育厅申请并取得同意。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hint="eastAsia" w:ascii="Times New Roman" w:hAnsi="Times New Roman" w:eastAsia="仿宋_GB2312"/>
          <w:sz w:val="32"/>
          <w:szCs w:val="36"/>
        </w:rPr>
        <w:t>2.页面内容应实事求是，不得提供虚假、误导或夸大的信息。专业介绍内容应至少包括但不限于下表所列信息。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14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专业介绍页面主要内容</w:t>
            </w:r>
          </w:p>
        </w:tc>
        <w:tc>
          <w:tcPr>
            <w:tcW w:w="44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一、专业基本信息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1.专业定位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概述专业内涵，以及专业在学科、行业、社会发展中的定位。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2.培养目标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立足本校办学特色，阐释专业对学生的培养目标。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3.培养规格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明确专业的学制学分、知识要求、能力要求、素质要求等。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4.课程体系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简要介绍专业课程体系总体框架，并罗列核心课程及实践教学环节。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5.师资队伍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简要介绍师资队伍结构，包括教师队伍数量、职称、学科背景等。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6.教学条件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简要介绍教学设施情况，包括教学设备、实验室、实习基地等。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6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二、其他专业相关的重要信息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根据需要自主增加其他内容。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hint="eastAsia" w:ascii="Times New Roman" w:hAnsi="Times New Roman" w:eastAsia="仿宋_GB2312"/>
          <w:sz w:val="32"/>
          <w:szCs w:val="36"/>
        </w:rPr>
        <w:t>3.白皮书形式、样式由专业点所在单位自主设计。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B4770"/>
    <w:rsid w:val="3B5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2021-12-15T08:09:00Z</dcterms:created>
  <dc:creator>SUN</dc:creator>
  <cp:lastModifiedBy>SUN</cp:lastModifiedBy>
  <dcterms:modified xsi:type="dcterms:W3CDTF">2021-12-15T08:11:08Z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0087F2500753426BA0769F8E8EFB6A11</vt:lpwstr>
  </property>
</Properties>
</file>