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71" w:rsidRPr="000B7D71" w:rsidRDefault="000B7D71" w:rsidP="000B7D71">
      <w:pPr>
        <w:ind w:leftChars="86" w:left="1096" w:hangingChars="450" w:hanging="841"/>
        <w:jc w:val="left"/>
        <w:rPr>
          <w:rFonts w:ascii="黑体" w:eastAsia="黑体" w:hAnsi="宋体" w:cs="宋体"/>
          <w:sz w:val="21"/>
          <w:szCs w:val="21"/>
        </w:rPr>
      </w:pPr>
      <w:r>
        <w:rPr>
          <w:rFonts w:ascii="黑体" w:eastAsia="黑体" w:hAnsi="宋体" w:cs="宋体" w:hint="eastAsia"/>
          <w:sz w:val="21"/>
          <w:szCs w:val="21"/>
        </w:rPr>
        <w:t>附件：</w:t>
      </w:r>
    </w:p>
    <w:p w:rsidR="0040259A" w:rsidRPr="00FC5A53" w:rsidRDefault="0040259A" w:rsidP="0040259A">
      <w:pPr>
        <w:ind w:leftChars="86" w:left="2131" w:hangingChars="450" w:hanging="1876"/>
        <w:jc w:val="center"/>
        <w:rPr>
          <w:rFonts w:ascii="方正小标宋简体" w:eastAsia="方正小标宋简体" w:hAnsi="宋体" w:cs="宋体"/>
          <w:sz w:val="44"/>
          <w:szCs w:val="44"/>
        </w:rPr>
      </w:pPr>
      <w:r w:rsidRPr="00FC5A53">
        <w:rPr>
          <w:rFonts w:ascii="方正小标宋简体" w:eastAsia="方正小标宋简体" w:hAnsi="宋体" w:cs="宋体"/>
          <w:sz w:val="44"/>
          <w:szCs w:val="44"/>
        </w:rPr>
        <w:t>华南理工大学广州学院</w:t>
      </w:r>
    </w:p>
    <w:p w:rsidR="0040259A" w:rsidRPr="00FC5A53" w:rsidRDefault="0040259A" w:rsidP="0040259A">
      <w:pPr>
        <w:ind w:leftChars="86" w:left="2131" w:hangingChars="450" w:hanging="1876"/>
        <w:jc w:val="center"/>
        <w:rPr>
          <w:rFonts w:ascii="方正小标宋简体" w:eastAsia="方正小标宋简体" w:hAnsi="宋体" w:cs="宋体"/>
          <w:sz w:val="44"/>
          <w:szCs w:val="44"/>
        </w:rPr>
      </w:pPr>
      <w:r w:rsidRPr="00FC5A53">
        <w:rPr>
          <w:rFonts w:ascii="方正小标宋简体" w:eastAsia="方正小标宋简体" w:hAnsi="宋体" w:cs="宋体"/>
          <w:sz w:val="44"/>
          <w:szCs w:val="44"/>
        </w:rPr>
        <w:t>全日制本科学生学分制教学管理实施办法</w:t>
      </w:r>
    </w:p>
    <w:p w:rsidR="0040259A" w:rsidRPr="00392281" w:rsidRDefault="0040259A" w:rsidP="0040259A">
      <w:pPr>
        <w:spacing w:line="360" w:lineRule="auto"/>
        <w:ind w:firstLineChars="0" w:firstLine="0"/>
        <w:jc w:val="center"/>
        <w:outlineLvl w:val="0"/>
        <w:rPr>
          <w:rFonts w:ascii="宋体" w:eastAsia="宋体" w:hAnsi="宋体"/>
          <w:szCs w:val="32"/>
        </w:rPr>
      </w:pPr>
      <w:r w:rsidRPr="00392281">
        <w:rPr>
          <w:rFonts w:ascii="宋体" w:eastAsia="宋体" w:hAnsi="宋体"/>
          <w:szCs w:val="32"/>
        </w:rPr>
        <w:t>（201</w:t>
      </w:r>
      <w:r>
        <w:rPr>
          <w:rFonts w:ascii="宋体" w:eastAsia="宋体" w:hAnsi="宋体" w:hint="eastAsia"/>
          <w:szCs w:val="32"/>
        </w:rPr>
        <w:t>7</w:t>
      </w:r>
      <w:r w:rsidRPr="00392281">
        <w:rPr>
          <w:rFonts w:ascii="宋体" w:eastAsia="宋体" w:hAnsi="宋体"/>
          <w:szCs w:val="32"/>
        </w:rPr>
        <w:t>年</w:t>
      </w:r>
      <w:r>
        <w:rPr>
          <w:rFonts w:ascii="宋体" w:eastAsia="宋体" w:hAnsi="宋体" w:hint="eastAsia"/>
          <w:szCs w:val="32"/>
        </w:rPr>
        <w:t>6</w:t>
      </w:r>
      <w:r w:rsidRPr="00392281">
        <w:rPr>
          <w:rFonts w:ascii="宋体" w:eastAsia="宋体" w:hAnsi="宋体"/>
          <w:szCs w:val="32"/>
        </w:rPr>
        <w:t>月修订）</w:t>
      </w:r>
    </w:p>
    <w:p w:rsidR="0040259A" w:rsidRPr="000B7D71" w:rsidRDefault="00363084" w:rsidP="00363084">
      <w:pPr>
        <w:ind w:firstLine="596"/>
        <w:rPr>
          <w:rFonts w:ascii="仿宋_GB2312"/>
          <w:szCs w:val="32"/>
        </w:rPr>
      </w:pPr>
      <w:r w:rsidRPr="000B7D71">
        <w:rPr>
          <w:rFonts w:ascii="仿宋_GB2312" w:hint="eastAsia"/>
          <w:b/>
          <w:szCs w:val="32"/>
        </w:rPr>
        <w:t>第一条</w:t>
      </w:r>
      <w:r w:rsidRPr="000B7D71">
        <w:rPr>
          <w:rFonts w:ascii="仿宋_GB2312" w:hint="eastAsia"/>
          <w:szCs w:val="32"/>
        </w:rPr>
        <w:t xml:space="preserve"> </w:t>
      </w:r>
      <w:r w:rsidR="0040259A" w:rsidRPr="000B7D71">
        <w:rPr>
          <w:rFonts w:ascii="仿宋_GB2312" w:hint="eastAsia"/>
          <w:szCs w:val="32"/>
        </w:rPr>
        <w:t>为充分发挥教师教学积极性和学生学习的自主性，提高教育质量，根据学校深化教育改革的指导思想和应用型人才培养的方针，体现因材施教的教学原则，特制定《华南理工大学广州学院全日制本科学生学分制教学管理实施办法》。</w:t>
      </w:r>
    </w:p>
    <w:p w:rsidR="0040259A" w:rsidRPr="00202F13" w:rsidRDefault="0040259A" w:rsidP="0040259A">
      <w:pPr>
        <w:pStyle w:val="1"/>
        <w:ind w:firstLine="594"/>
        <w:jc w:val="center"/>
        <w:rPr>
          <w:rFonts w:ascii="黑体" w:hint="eastAsia"/>
          <w:szCs w:val="32"/>
        </w:rPr>
      </w:pPr>
      <w:r w:rsidRPr="00202F13">
        <w:rPr>
          <w:rFonts w:ascii="黑体" w:hint="eastAsia"/>
          <w:szCs w:val="32"/>
        </w:rPr>
        <w:t>学分制与学分</w:t>
      </w:r>
    </w:p>
    <w:p w:rsidR="0040259A" w:rsidRPr="000B7D71" w:rsidRDefault="00363084" w:rsidP="00363084">
      <w:pPr>
        <w:ind w:firstLine="596"/>
        <w:rPr>
          <w:rFonts w:ascii="仿宋_GB2312"/>
          <w:szCs w:val="32"/>
        </w:rPr>
      </w:pPr>
      <w:r w:rsidRPr="000B7D71">
        <w:rPr>
          <w:rFonts w:ascii="仿宋_GB2312" w:hint="eastAsia"/>
          <w:b/>
          <w:szCs w:val="32"/>
        </w:rPr>
        <w:t>第二条</w:t>
      </w:r>
      <w:r w:rsidRPr="000B7D71">
        <w:rPr>
          <w:rFonts w:ascii="仿宋_GB2312" w:hint="eastAsia"/>
          <w:szCs w:val="32"/>
        </w:rPr>
        <w:t xml:space="preserve"> </w:t>
      </w:r>
      <w:r w:rsidR="0040259A" w:rsidRPr="000B7D71">
        <w:rPr>
          <w:rFonts w:ascii="仿宋_GB2312" w:hint="eastAsia"/>
          <w:szCs w:val="32"/>
        </w:rPr>
        <w:t>学分制作为一种教学管理制度，其基本点是：以学分作为学生学习的计量单位，以取得必要的最低学分作为毕业的标准。学分的计算原则是以课程为单位，把每门课程的各种教学形式所需的课内外时间合并计算，折算为学分。</w:t>
      </w:r>
    </w:p>
    <w:p w:rsidR="0040259A" w:rsidRPr="000B7D71" w:rsidRDefault="00363084" w:rsidP="00363084">
      <w:pPr>
        <w:ind w:firstLine="596"/>
        <w:rPr>
          <w:rFonts w:ascii="仿宋_GB2312"/>
          <w:szCs w:val="32"/>
        </w:rPr>
      </w:pPr>
      <w:r w:rsidRPr="000B7D71">
        <w:rPr>
          <w:rFonts w:ascii="仿宋_GB2312" w:hint="eastAsia"/>
          <w:b/>
          <w:szCs w:val="32"/>
        </w:rPr>
        <w:t>第三条</w:t>
      </w:r>
      <w:r w:rsidRPr="000B7D71">
        <w:rPr>
          <w:rFonts w:ascii="仿宋_GB2312" w:hint="eastAsia"/>
          <w:szCs w:val="32"/>
        </w:rPr>
        <w:t xml:space="preserve"> </w:t>
      </w:r>
      <w:r w:rsidR="0040259A" w:rsidRPr="000B7D71">
        <w:rPr>
          <w:rFonts w:ascii="仿宋_GB2312" w:hint="eastAsia"/>
          <w:szCs w:val="32"/>
        </w:rPr>
        <w:t>我校实行学期标准周制，即每学期教学周数为16周，所有课程（指理论课、课内实验课和独立开设的实验课）按16学时计1学分，不够16学时但达8学时以上计0.5学分，不足8学时的不计学分；集中安排的实践性环节，每周计1学分，半周以上不满一周计0.5学分，不足半周的不计学分。</w:t>
      </w:r>
    </w:p>
    <w:p w:rsidR="0040259A" w:rsidRPr="000B7D71" w:rsidRDefault="00363084" w:rsidP="00363084">
      <w:pPr>
        <w:ind w:firstLine="596"/>
        <w:rPr>
          <w:rFonts w:ascii="仿宋_GB2312"/>
          <w:szCs w:val="32"/>
        </w:rPr>
      </w:pPr>
      <w:r w:rsidRPr="000B7D71">
        <w:rPr>
          <w:rFonts w:ascii="仿宋_GB2312" w:hint="eastAsia"/>
          <w:b/>
          <w:szCs w:val="32"/>
        </w:rPr>
        <w:lastRenderedPageBreak/>
        <w:t>第四条</w:t>
      </w:r>
      <w:r w:rsidRPr="000B7D71">
        <w:rPr>
          <w:rFonts w:ascii="仿宋_GB2312" w:hint="eastAsia"/>
          <w:szCs w:val="32"/>
        </w:rPr>
        <w:t xml:space="preserve"> </w:t>
      </w:r>
      <w:r w:rsidR="00C6408D" w:rsidRPr="000B7D71">
        <w:rPr>
          <w:rFonts w:ascii="仿宋_GB2312" w:hint="eastAsia"/>
          <w:szCs w:val="32"/>
        </w:rPr>
        <w:t>各专业</w:t>
      </w:r>
      <w:r w:rsidR="0040259A" w:rsidRPr="000B7D71">
        <w:rPr>
          <w:rFonts w:ascii="仿宋_GB2312" w:hint="eastAsia"/>
          <w:szCs w:val="32"/>
        </w:rPr>
        <w:t>按综合培养计划的规定，一般最低毕业学分为165左右。</w:t>
      </w:r>
    </w:p>
    <w:p w:rsidR="0040259A" w:rsidRPr="000B7D71" w:rsidRDefault="00363084" w:rsidP="00363084">
      <w:pPr>
        <w:ind w:firstLine="596"/>
        <w:rPr>
          <w:rFonts w:ascii="仿宋_GB2312"/>
          <w:szCs w:val="32"/>
        </w:rPr>
      </w:pPr>
      <w:r w:rsidRPr="000B7D71">
        <w:rPr>
          <w:rFonts w:ascii="仿宋_GB2312" w:hint="eastAsia"/>
          <w:b/>
          <w:szCs w:val="32"/>
        </w:rPr>
        <w:t>第五条</w:t>
      </w:r>
      <w:r w:rsidRPr="000B7D71">
        <w:rPr>
          <w:rFonts w:ascii="仿宋_GB2312" w:hint="eastAsia"/>
          <w:szCs w:val="32"/>
        </w:rPr>
        <w:t xml:space="preserve"> </w:t>
      </w:r>
      <w:r w:rsidR="0040259A" w:rsidRPr="000B7D71">
        <w:rPr>
          <w:rFonts w:ascii="仿宋_GB2312" w:hint="eastAsia"/>
          <w:szCs w:val="32"/>
        </w:rPr>
        <w:t>学生完成综合培养计划的基本学制为4年。完成规定的学分可以提前毕业，亦可延长在校时间，修满规定的学分。除有特殊规定外，延长时间不得超过2年。</w:t>
      </w:r>
    </w:p>
    <w:p w:rsidR="00363084" w:rsidRPr="000B7D71" w:rsidRDefault="00363084" w:rsidP="00363084">
      <w:pPr>
        <w:ind w:firstLine="596"/>
        <w:rPr>
          <w:rFonts w:ascii="仿宋_GB2312"/>
          <w:szCs w:val="32"/>
        </w:rPr>
      </w:pPr>
      <w:r w:rsidRPr="000B7D71">
        <w:rPr>
          <w:rFonts w:ascii="仿宋_GB2312" w:hint="eastAsia"/>
          <w:b/>
          <w:szCs w:val="32"/>
        </w:rPr>
        <w:t>第六条</w:t>
      </w:r>
      <w:r w:rsidRPr="000B7D71">
        <w:rPr>
          <w:rFonts w:ascii="仿宋_GB2312" w:hint="eastAsia"/>
          <w:szCs w:val="32"/>
        </w:rPr>
        <w:t xml:space="preserve"> </w:t>
      </w:r>
      <w:r w:rsidR="00327D39" w:rsidRPr="000B7D71">
        <w:rPr>
          <w:rFonts w:ascii="仿宋_GB2312" w:hint="eastAsia"/>
          <w:szCs w:val="32"/>
        </w:rPr>
        <w:t>学校</w:t>
      </w:r>
      <w:r w:rsidRPr="000B7D71">
        <w:rPr>
          <w:rFonts w:ascii="仿宋_GB2312" w:hint="eastAsia"/>
          <w:szCs w:val="32"/>
        </w:rPr>
        <w:t>实行学分制同时实行导师制。导师可由班主任或由各二级学院指派责任心强、有经验的教师担任。导师的主要职责是协助二级学院院长关心学生全面成长，指导学生选课和学习。</w:t>
      </w:r>
    </w:p>
    <w:p w:rsidR="0040259A" w:rsidRPr="00202F13" w:rsidRDefault="0040259A" w:rsidP="0040259A">
      <w:pPr>
        <w:pStyle w:val="1"/>
        <w:jc w:val="center"/>
        <w:rPr>
          <w:rFonts w:ascii="黑体" w:hint="eastAsia"/>
          <w:szCs w:val="32"/>
        </w:rPr>
      </w:pPr>
      <w:r w:rsidRPr="00202F13">
        <w:rPr>
          <w:rFonts w:ascii="黑体" w:hint="eastAsia"/>
          <w:szCs w:val="32"/>
        </w:rPr>
        <w:t>综合培养计划</w:t>
      </w:r>
    </w:p>
    <w:p w:rsidR="0040259A" w:rsidRPr="000B7D71" w:rsidRDefault="00363084" w:rsidP="00363084">
      <w:pPr>
        <w:ind w:firstLine="596"/>
        <w:rPr>
          <w:rFonts w:ascii="仿宋_GB2312"/>
          <w:szCs w:val="32"/>
        </w:rPr>
      </w:pPr>
      <w:r w:rsidRPr="000B7D71">
        <w:rPr>
          <w:rFonts w:ascii="仿宋_GB2312" w:hint="eastAsia"/>
          <w:b/>
          <w:szCs w:val="32"/>
        </w:rPr>
        <w:t>第七条</w:t>
      </w:r>
      <w:r w:rsidRPr="000B7D71">
        <w:rPr>
          <w:rFonts w:ascii="仿宋_GB2312" w:hint="eastAsia"/>
          <w:szCs w:val="32"/>
        </w:rPr>
        <w:t xml:space="preserve"> </w:t>
      </w:r>
      <w:r w:rsidR="0040259A" w:rsidRPr="000B7D71">
        <w:rPr>
          <w:rFonts w:ascii="仿宋_GB2312" w:hint="eastAsia"/>
          <w:szCs w:val="32"/>
        </w:rPr>
        <w:t>综合培养计划是学校培养人才的总体设计和实施计划，是安排教学内容、组织教学活动及有关工作的基本依据，是指导学生修读课程的重要文件，一经确定，不得随意调整。综合培养计划在新生入学后向学生公布。学生须根据综合培养计划的要求完成规定学分。</w:t>
      </w:r>
    </w:p>
    <w:p w:rsidR="0040259A" w:rsidRPr="000B7D71" w:rsidRDefault="00363084" w:rsidP="00363084">
      <w:pPr>
        <w:ind w:firstLine="596"/>
        <w:rPr>
          <w:rFonts w:ascii="仿宋_GB2312"/>
          <w:szCs w:val="32"/>
        </w:rPr>
      </w:pPr>
      <w:r w:rsidRPr="000B7D71">
        <w:rPr>
          <w:rFonts w:ascii="仿宋_GB2312" w:hint="eastAsia"/>
          <w:b/>
          <w:szCs w:val="32"/>
        </w:rPr>
        <w:t>第八条</w:t>
      </w:r>
      <w:r w:rsidRPr="000B7D71">
        <w:rPr>
          <w:rFonts w:ascii="仿宋_GB2312" w:hint="eastAsia"/>
          <w:szCs w:val="32"/>
        </w:rPr>
        <w:t xml:space="preserve"> </w:t>
      </w:r>
      <w:r w:rsidR="0040259A" w:rsidRPr="000B7D71">
        <w:rPr>
          <w:rFonts w:ascii="仿宋_GB2312" w:hint="eastAsia"/>
          <w:szCs w:val="32"/>
        </w:rPr>
        <w:t>综合培养计划包括专业教学计划、辅修专业教学计划和课外教学计划。</w:t>
      </w:r>
    </w:p>
    <w:p w:rsidR="0040259A" w:rsidRPr="000B7D71" w:rsidRDefault="0040259A" w:rsidP="0040259A">
      <w:pPr>
        <w:ind w:firstLine="594"/>
        <w:rPr>
          <w:rFonts w:ascii="仿宋_GB2312"/>
          <w:szCs w:val="32"/>
        </w:rPr>
      </w:pPr>
      <w:r w:rsidRPr="000B7D71">
        <w:rPr>
          <w:rFonts w:ascii="仿宋_GB2312" w:hint="eastAsia"/>
          <w:szCs w:val="32"/>
        </w:rPr>
        <w:t>（一）专业教学计划是学校人才培养的基础和核心部分，包括：培养目标、规格和要求；课程设置，教学环节及其学时分配；教学进度表；必要的说明</w:t>
      </w:r>
      <w:r w:rsidR="00C6408D" w:rsidRPr="000B7D71">
        <w:rPr>
          <w:rFonts w:ascii="仿宋_GB2312" w:hint="eastAsia"/>
          <w:szCs w:val="32"/>
        </w:rPr>
        <w:t>。</w:t>
      </w:r>
    </w:p>
    <w:p w:rsidR="00C6408D" w:rsidRPr="000B7D71" w:rsidRDefault="00F31418" w:rsidP="00C6408D">
      <w:pPr>
        <w:ind w:firstLine="594"/>
        <w:rPr>
          <w:rFonts w:ascii="仿宋_GB2312"/>
          <w:szCs w:val="32"/>
        </w:rPr>
      </w:pPr>
      <w:r w:rsidRPr="000B7D71">
        <w:rPr>
          <w:rFonts w:ascii="仿宋_GB2312" w:hint="eastAsia"/>
          <w:szCs w:val="32"/>
        </w:rPr>
        <w:t>专业教学计划</w:t>
      </w:r>
      <w:r w:rsidR="00C6408D" w:rsidRPr="000B7D71">
        <w:rPr>
          <w:rFonts w:ascii="仿宋_GB2312" w:hint="eastAsia"/>
          <w:szCs w:val="32"/>
        </w:rPr>
        <w:t>计划对下列问题做出明确规定：</w:t>
      </w:r>
    </w:p>
    <w:p w:rsidR="00C6408D" w:rsidRPr="000B7D71" w:rsidRDefault="00C6408D" w:rsidP="00C6408D">
      <w:pPr>
        <w:ind w:firstLine="594"/>
        <w:rPr>
          <w:rFonts w:ascii="仿宋_GB2312"/>
          <w:szCs w:val="32"/>
        </w:rPr>
      </w:pPr>
      <w:r w:rsidRPr="000B7D71">
        <w:rPr>
          <w:rFonts w:ascii="仿宋_GB2312" w:hint="eastAsia"/>
          <w:szCs w:val="32"/>
        </w:rPr>
        <w:lastRenderedPageBreak/>
        <w:t>1</w:t>
      </w:r>
      <w:r w:rsidR="00652ADA" w:rsidRPr="000B7D71">
        <w:rPr>
          <w:rFonts w:ascii="仿宋_GB2312" w:hint="eastAsia"/>
          <w:szCs w:val="32"/>
        </w:rPr>
        <w:t>、</w:t>
      </w:r>
      <w:r w:rsidRPr="000B7D71">
        <w:rPr>
          <w:rFonts w:ascii="仿宋_GB2312" w:hint="eastAsia"/>
          <w:szCs w:val="32"/>
        </w:rPr>
        <w:t>课程的类型（必修课或选修课）及各类课程的学时数、学分数；</w:t>
      </w:r>
    </w:p>
    <w:p w:rsidR="00C6408D" w:rsidRPr="000B7D71" w:rsidRDefault="00C6408D" w:rsidP="00C6408D">
      <w:pPr>
        <w:ind w:firstLine="594"/>
        <w:rPr>
          <w:rFonts w:ascii="仿宋_GB2312"/>
          <w:szCs w:val="32"/>
        </w:rPr>
      </w:pPr>
      <w:r w:rsidRPr="000B7D71">
        <w:rPr>
          <w:rFonts w:ascii="仿宋_GB2312" w:hint="eastAsia"/>
          <w:szCs w:val="32"/>
        </w:rPr>
        <w:t>2</w:t>
      </w:r>
      <w:r w:rsidR="00652ADA" w:rsidRPr="000B7D71">
        <w:rPr>
          <w:rFonts w:ascii="仿宋_GB2312" w:hint="eastAsia"/>
          <w:szCs w:val="32"/>
        </w:rPr>
        <w:t>、</w:t>
      </w:r>
      <w:r w:rsidRPr="000B7D71">
        <w:rPr>
          <w:rFonts w:ascii="仿宋_GB2312" w:hint="eastAsia"/>
          <w:szCs w:val="32"/>
        </w:rPr>
        <w:t>各类课程的教学安排及进度；</w:t>
      </w:r>
    </w:p>
    <w:p w:rsidR="00C6408D" w:rsidRPr="000B7D71" w:rsidRDefault="00C6408D" w:rsidP="00C6408D">
      <w:pPr>
        <w:ind w:firstLine="594"/>
        <w:rPr>
          <w:rFonts w:ascii="仿宋_GB2312"/>
          <w:szCs w:val="32"/>
        </w:rPr>
      </w:pPr>
      <w:r w:rsidRPr="000B7D71">
        <w:rPr>
          <w:rFonts w:ascii="仿宋_GB2312" w:hint="eastAsia"/>
          <w:szCs w:val="32"/>
        </w:rPr>
        <w:t>3</w:t>
      </w:r>
      <w:r w:rsidR="00652ADA" w:rsidRPr="000B7D71">
        <w:rPr>
          <w:rFonts w:ascii="仿宋_GB2312" w:hint="eastAsia"/>
          <w:szCs w:val="32"/>
        </w:rPr>
        <w:t>、</w:t>
      </w:r>
      <w:r w:rsidRPr="000B7D71">
        <w:rPr>
          <w:rFonts w:ascii="仿宋_GB2312" w:hint="eastAsia"/>
          <w:szCs w:val="32"/>
        </w:rPr>
        <w:t>学生应修够的选修课程学分数；</w:t>
      </w:r>
    </w:p>
    <w:p w:rsidR="00C6408D" w:rsidRPr="000B7D71" w:rsidRDefault="00C6408D" w:rsidP="00C6408D">
      <w:pPr>
        <w:ind w:firstLine="594"/>
        <w:rPr>
          <w:rFonts w:ascii="仿宋_GB2312"/>
          <w:szCs w:val="32"/>
        </w:rPr>
      </w:pPr>
      <w:r w:rsidRPr="000B7D71">
        <w:rPr>
          <w:rFonts w:ascii="仿宋_GB2312" w:hint="eastAsia"/>
          <w:szCs w:val="32"/>
        </w:rPr>
        <w:t>4</w:t>
      </w:r>
      <w:r w:rsidR="00652ADA" w:rsidRPr="000B7D71">
        <w:rPr>
          <w:rFonts w:ascii="仿宋_GB2312" w:hint="eastAsia"/>
          <w:szCs w:val="32"/>
        </w:rPr>
        <w:t>、</w:t>
      </w:r>
      <w:r w:rsidRPr="000B7D71">
        <w:rPr>
          <w:rFonts w:ascii="仿宋_GB2312" w:hint="eastAsia"/>
          <w:szCs w:val="32"/>
        </w:rPr>
        <w:t>集中安排的实践性教学环节的学分数、周数及具体安排时间；</w:t>
      </w:r>
    </w:p>
    <w:p w:rsidR="00C6408D" w:rsidRPr="000B7D71" w:rsidRDefault="00C6408D" w:rsidP="00C6408D">
      <w:pPr>
        <w:ind w:firstLine="594"/>
        <w:rPr>
          <w:rFonts w:ascii="仿宋_GB2312"/>
          <w:szCs w:val="32"/>
        </w:rPr>
      </w:pPr>
      <w:r w:rsidRPr="000B7D71">
        <w:rPr>
          <w:rFonts w:ascii="仿宋_GB2312" w:hint="eastAsia"/>
          <w:szCs w:val="32"/>
        </w:rPr>
        <w:t>5</w:t>
      </w:r>
      <w:r w:rsidR="00652ADA" w:rsidRPr="000B7D71">
        <w:rPr>
          <w:rFonts w:ascii="仿宋_GB2312" w:hint="eastAsia"/>
          <w:szCs w:val="32"/>
        </w:rPr>
        <w:t>、</w:t>
      </w:r>
      <w:r w:rsidRPr="000B7D71">
        <w:rPr>
          <w:rFonts w:ascii="仿宋_GB2312" w:hint="eastAsia"/>
          <w:szCs w:val="32"/>
        </w:rPr>
        <w:t>学生达到毕业要求的最低学分数。</w:t>
      </w:r>
    </w:p>
    <w:p w:rsidR="0040259A" w:rsidRPr="000B7D71" w:rsidRDefault="0040259A" w:rsidP="0040259A">
      <w:pPr>
        <w:ind w:firstLine="594"/>
        <w:rPr>
          <w:rFonts w:ascii="仿宋_GB2312"/>
          <w:szCs w:val="32"/>
        </w:rPr>
      </w:pPr>
      <w:r w:rsidRPr="000B7D71">
        <w:rPr>
          <w:rFonts w:ascii="仿宋_GB2312" w:hint="eastAsia"/>
          <w:szCs w:val="32"/>
        </w:rPr>
        <w:t>（二）辅修专业和辅修学士学位（以下统称辅修专业）是为了鼓励学生在完成主修专业学习任务的前提下，向多学科发展，培养复合型人才而设置的。辅修专业教学计划对应修读的课程名称、学时数、学分数，要求达到的总学分数及教学安排等问题，做出明确规定。</w:t>
      </w:r>
    </w:p>
    <w:p w:rsidR="0040259A" w:rsidRPr="000B7D71" w:rsidRDefault="0040259A" w:rsidP="0040259A">
      <w:pPr>
        <w:ind w:firstLine="594"/>
        <w:rPr>
          <w:rFonts w:ascii="仿宋_GB2312"/>
          <w:szCs w:val="32"/>
        </w:rPr>
      </w:pPr>
      <w:r w:rsidRPr="000B7D71">
        <w:rPr>
          <w:rFonts w:ascii="仿宋_GB2312" w:hint="eastAsia"/>
          <w:szCs w:val="32"/>
        </w:rPr>
        <w:t>（三）课外教学计划</w:t>
      </w:r>
    </w:p>
    <w:p w:rsidR="00F31418" w:rsidRPr="000B7D71" w:rsidRDefault="00F31418" w:rsidP="0040259A">
      <w:pPr>
        <w:ind w:firstLine="594"/>
        <w:rPr>
          <w:rFonts w:ascii="仿宋_GB2312"/>
          <w:szCs w:val="32"/>
        </w:rPr>
      </w:pPr>
      <w:r w:rsidRPr="000B7D71">
        <w:rPr>
          <w:rFonts w:ascii="仿宋_GB2312" w:hint="eastAsia"/>
          <w:szCs w:val="32"/>
        </w:rPr>
        <w:t>课外教学计划包括创新创业能力培养计划、人文素质教育计划、各类课程课外实践教学等各类课外教学计划。学分不设上限。</w:t>
      </w:r>
    </w:p>
    <w:p w:rsidR="0040259A" w:rsidRPr="000B7D71" w:rsidRDefault="00363084" w:rsidP="0040259A">
      <w:pPr>
        <w:ind w:firstLineChars="0" w:firstLine="594"/>
        <w:rPr>
          <w:rFonts w:ascii="仿宋_GB2312"/>
          <w:szCs w:val="32"/>
        </w:rPr>
      </w:pPr>
      <w:r w:rsidRPr="000B7D71">
        <w:rPr>
          <w:rFonts w:ascii="仿宋_GB2312" w:hint="eastAsia"/>
          <w:b/>
          <w:szCs w:val="32"/>
        </w:rPr>
        <w:t>第九条</w:t>
      </w:r>
      <w:r w:rsidRPr="000B7D71">
        <w:rPr>
          <w:rFonts w:ascii="仿宋_GB2312" w:hint="eastAsia"/>
          <w:szCs w:val="32"/>
        </w:rPr>
        <w:t xml:space="preserve"> </w:t>
      </w:r>
      <w:r w:rsidR="0040259A" w:rsidRPr="000B7D71">
        <w:rPr>
          <w:rFonts w:ascii="仿宋_GB2312" w:hint="eastAsia"/>
          <w:szCs w:val="32"/>
        </w:rPr>
        <w:t>综合培养计划中的课程，按性质可划分为必修课和选修课，</w:t>
      </w:r>
      <w:r w:rsidR="0040259A" w:rsidRPr="000B7D71">
        <w:rPr>
          <w:rFonts w:ascii="仿宋_GB2312" w:hint="eastAsia"/>
          <w:color w:val="000000"/>
          <w:szCs w:val="32"/>
        </w:rPr>
        <w:t>选修课分通识教育专项选修课（简称通选课）和专业选修课。</w:t>
      </w:r>
    </w:p>
    <w:p w:rsidR="0040259A" w:rsidRPr="000B7D71" w:rsidRDefault="0040259A" w:rsidP="0040259A">
      <w:pPr>
        <w:ind w:firstLineChars="0" w:firstLine="594"/>
        <w:rPr>
          <w:rFonts w:ascii="仿宋_GB2312"/>
          <w:szCs w:val="32"/>
        </w:rPr>
      </w:pPr>
      <w:r w:rsidRPr="000B7D71">
        <w:rPr>
          <w:rFonts w:ascii="仿宋_GB2312" w:hint="eastAsia"/>
          <w:szCs w:val="32"/>
        </w:rPr>
        <w:t>必修课程是必须修习的课程，选修课程是可以选择修习的课程。学生必须修读并获得每一门必修课程规定的学分，并根据综合培养计划的有关规定获得相应的选修课程的学分方可取得毕业资格。</w:t>
      </w:r>
    </w:p>
    <w:p w:rsidR="0040259A" w:rsidRPr="000B7D71" w:rsidRDefault="00363084" w:rsidP="00363084">
      <w:pPr>
        <w:ind w:firstLine="596"/>
        <w:rPr>
          <w:rFonts w:ascii="仿宋_GB2312"/>
          <w:szCs w:val="32"/>
        </w:rPr>
      </w:pPr>
      <w:r w:rsidRPr="000B7D71">
        <w:rPr>
          <w:rFonts w:ascii="仿宋_GB2312" w:hint="eastAsia"/>
          <w:b/>
          <w:szCs w:val="32"/>
        </w:rPr>
        <w:lastRenderedPageBreak/>
        <w:t>第十条</w:t>
      </w:r>
      <w:r w:rsidRPr="000B7D71">
        <w:rPr>
          <w:rFonts w:ascii="仿宋_GB2312" w:hint="eastAsia"/>
          <w:szCs w:val="32"/>
        </w:rPr>
        <w:t xml:space="preserve"> </w:t>
      </w:r>
      <w:r w:rsidR="0040259A" w:rsidRPr="000B7D71">
        <w:rPr>
          <w:rFonts w:ascii="仿宋_GB2312" w:hint="eastAsia"/>
          <w:szCs w:val="32"/>
        </w:rPr>
        <w:t>专业教学计划中的课程，按照课程类别可分为公共基础课、学科基础课、专业领域课、个人拓展计划和集中实践教学环节。</w:t>
      </w:r>
    </w:p>
    <w:p w:rsidR="0040259A" w:rsidRPr="000B7D71" w:rsidRDefault="0040259A" w:rsidP="0040259A">
      <w:pPr>
        <w:ind w:firstLine="594"/>
        <w:rPr>
          <w:rFonts w:ascii="仿宋_GB2312"/>
          <w:szCs w:val="32"/>
        </w:rPr>
      </w:pPr>
      <w:r w:rsidRPr="000B7D71">
        <w:rPr>
          <w:rFonts w:ascii="仿宋_GB2312" w:hint="eastAsia"/>
          <w:szCs w:val="32"/>
        </w:rPr>
        <w:t>公共基础课包括公共必修课和通选课；</w:t>
      </w:r>
      <w:r w:rsidR="00363084" w:rsidRPr="000B7D71">
        <w:rPr>
          <w:rFonts w:ascii="仿宋_GB2312" w:hint="eastAsia"/>
          <w:szCs w:val="32"/>
        </w:rPr>
        <w:t>学</w:t>
      </w:r>
      <w:r w:rsidRPr="000B7D71">
        <w:rPr>
          <w:rFonts w:ascii="仿宋_GB2312" w:hint="eastAsia"/>
          <w:szCs w:val="32"/>
        </w:rPr>
        <w:t>科基础课着重建立宽厚学科知识基础，拓宽知识面；专业领域课着重培养学生扎实的学科专业知识；个人拓展计划是落实应用型人才培养模式、体现个性化培养的关键部分；集中实践教学环节着重培养学生动手能力和创新能力。</w:t>
      </w:r>
    </w:p>
    <w:p w:rsidR="0040259A" w:rsidRPr="00202F13" w:rsidRDefault="0040259A" w:rsidP="0040259A">
      <w:pPr>
        <w:pStyle w:val="1"/>
        <w:jc w:val="center"/>
        <w:rPr>
          <w:rFonts w:ascii="黑体" w:hint="eastAsia"/>
          <w:bCs w:val="0"/>
          <w:szCs w:val="32"/>
        </w:rPr>
      </w:pPr>
      <w:r w:rsidRPr="00202F13">
        <w:rPr>
          <w:rFonts w:ascii="黑体" w:hint="eastAsia"/>
          <w:bCs w:val="0"/>
          <w:szCs w:val="32"/>
        </w:rPr>
        <w:t>开课及学生选课</w:t>
      </w:r>
    </w:p>
    <w:p w:rsidR="0040259A" w:rsidRPr="000B7D71" w:rsidRDefault="00363084" w:rsidP="00363084">
      <w:pPr>
        <w:ind w:firstLine="596"/>
        <w:rPr>
          <w:rFonts w:ascii="仿宋_GB2312"/>
          <w:szCs w:val="32"/>
        </w:rPr>
      </w:pPr>
      <w:r w:rsidRPr="000B7D71">
        <w:rPr>
          <w:rFonts w:ascii="仿宋_GB2312" w:hint="eastAsia"/>
          <w:b/>
          <w:szCs w:val="32"/>
        </w:rPr>
        <w:t>第十一条</w:t>
      </w:r>
      <w:r w:rsidRPr="000B7D71">
        <w:rPr>
          <w:rFonts w:ascii="仿宋_GB2312" w:hint="eastAsia"/>
          <w:szCs w:val="32"/>
        </w:rPr>
        <w:t xml:space="preserve"> </w:t>
      </w:r>
      <w:r w:rsidR="00C6408D" w:rsidRPr="000B7D71">
        <w:rPr>
          <w:rFonts w:ascii="仿宋_GB2312" w:hint="eastAsia"/>
          <w:szCs w:val="32"/>
        </w:rPr>
        <w:t>学校</w:t>
      </w:r>
      <w:r w:rsidR="00B01185" w:rsidRPr="000B7D71">
        <w:rPr>
          <w:rFonts w:ascii="仿宋_GB2312" w:hint="eastAsia"/>
          <w:szCs w:val="32"/>
        </w:rPr>
        <w:t>开课及排课</w:t>
      </w:r>
      <w:r w:rsidR="00C6408D" w:rsidRPr="000B7D71">
        <w:rPr>
          <w:rFonts w:ascii="仿宋_GB2312" w:hint="eastAsia"/>
          <w:szCs w:val="32"/>
        </w:rPr>
        <w:t>工作</w:t>
      </w:r>
      <w:r w:rsidR="00B01185" w:rsidRPr="000B7D71">
        <w:rPr>
          <w:rFonts w:ascii="仿宋_GB2312" w:hint="eastAsia"/>
          <w:szCs w:val="32"/>
        </w:rPr>
        <w:t>，一般由教务处会同有关二级学院统筹安排。</w:t>
      </w:r>
      <w:r w:rsidR="0040259A" w:rsidRPr="000B7D71">
        <w:rPr>
          <w:rFonts w:ascii="仿宋_GB2312" w:hint="eastAsia"/>
          <w:szCs w:val="32"/>
        </w:rPr>
        <w:t>各二级学院应根据综合培养计划，在学校规定时间内通过教务管理系统合理编排课程表和配备任课教师；任何单位及教师不得拒绝授课任务。</w:t>
      </w:r>
    </w:p>
    <w:p w:rsidR="0040259A" w:rsidRPr="000B7D71" w:rsidRDefault="00363084" w:rsidP="00363084">
      <w:pPr>
        <w:ind w:firstLine="596"/>
        <w:rPr>
          <w:rFonts w:ascii="仿宋_GB2312"/>
          <w:szCs w:val="32"/>
        </w:rPr>
      </w:pPr>
      <w:r w:rsidRPr="000B7D71">
        <w:rPr>
          <w:rFonts w:ascii="仿宋_GB2312" w:hint="eastAsia"/>
          <w:b/>
          <w:szCs w:val="32"/>
        </w:rPr>
        <w:t>第十二条</w:t>
      </w:r>
      <w:r w:rsidRPr="000B7D71">
        <w:rPr>
          <w:rFonts w:ascii="仿宋_GB2312" w:hint="eastAsia"/>
          <w:szCs w:val="32"/>
        </w:rPr>
        <w:t xml:space="preserve"> </w:t>
      </w:r>
      <w:r w:rsidR="0040259A" w:rsidRPr="000B7D71">
        <w:rPr>
          <w:rFonts w:ascii="仿宋_GB2312" w:hint="eastAsia"/>
          <w:szCs w:val="32"/>
        </w:rPr>
        <w:t>学生选课应在导师或班主任指导下按如下方式进行：</w:t>
      </w:r>
    </w:p>
    <w:p w:rsidR="0040259A" w:rsidRPr="000B7D71" w:rsidRDefault="0040259A" w:rsidP="0040259A">
      <w:pPr>
        <w:ind w:firstLine="594"/>
        <w:rPr>
          <w:rFonts w:ascii="仿宋_GB2312"/>
          <w:szCs w:val="32"/>
        </w:rPr>
      </w:pPr>
      <w:r w:rsidRPr="000B7D71">
        <w:rPr>
          <w:rFonts w:ascii="仿宋_GB2312" w:hint="eastAsia"/>
          <w:szCs w:val="32"/>
        </w:rPr>
        <w:t>（一）专业选修课：各二级学院应在每学期的考试周前向学生宣布下学期拟开设课程，并组织学生通过教务管理系统选课。选修人数不足30人，一般不开课，特殊情况需经教务处审批；</w:t>
      </w:r>
    </w:p>
    <w:p w:rsidR="0040259A" w:rsidRPr="000B7D71" w:rsidRDefault="0040259A" w:rsidP="0040259A">
      <w:pPr>
        <w:ind w:firstLine="594"/>
        <w:rPr>
          <w:rFonts w:ascii="仿宋_GB2312"/>
          <w:szCs w:val="32"/>
        </w:rPr>
      </w:pPr>
      <w:r w:rsidRPr="000B7D71">
        <w:rPr>
          <w:rFonts w:ascii="仿宋_GB2312" w:hint="eastAsia"/>
          <w:szCs w:val="32"/>
        </w:rPr>
        <w:t>（二）体育课及通选课：由相关部门在每学期初通过教务处网站发布选课通知，学生通过教务管理系统选课；</w:t>
      </w:r>
    </w:p>
    <w:p w:rsidR="0040259A" w:rsidRPr="000B7D71" w:rsidRDefault="0040259A" w:rsidP="0040259A">
      <w:pPr>
        <w:ind w:firstLine="594"/>
        <w:rPr>
          <w:rFonts w:ascii="仿宋_GB2312"/>
          <w:szCs w:val="32"/>
        </w:rPr>
      </w:pPr>
      <w:r w:rsidRPr="000B7D71">
        <w:rPr>
          <w:rFonts w:ascii="仿宋_GB2312" w:hint="eastAsia"/>
          <w:szCs w:val="32"/>
        </w:rPr>
        <w:lastRenderedPageBreak/>
        <w:t>（三）辅修课：由学校在考试周前向学生宣布下学期拟开设课程。学生到开课二级学院办理选课手续。选课人数不足30人的课程，一般不单独开班。</w:t>
      </w:r>
    </w:p>
    <w:p w:rsidR="0040259A" w:rsidRPr="000B7D71" w:rsidRDefault="00363084" w:rsidP="00363084">
      <w:pPr>
        <w:ind w:firstLine="596"/>
        <w:rPr>
          <w:rFonts w:ascii="仿宋_GB2312"/>
          <w:szCs w:val="32"/>
        </w:rPr>
      </w:pPr>
      <w:r w:rsidRPr="000B7D71">
        <w:rPr>
          <w:rFonts w:ascii="仿宋_GB2312" w:hint="eastAsia"/>
          <w:b/>
          <w:szCs w:val="32"/>
        </w:rPr>
        <w:t>第十三条</w:t>
      </w:r>
      <w:r w:rsidRPr="000B7D71">
        <w:rPr>
          <w:rFonts w:ascii="仿宋_GB2312" w:hint="eastAsia"/>
          <w:szCs w:val="32"/>
        </w:rPr>
        <w:t xml:space="preserve"> </w:t>
      </w:r>
      <w:r w:rsidR="0040259A" w:rsidRPr="000B7D71">
        <w:rPr>
          <w:rFonts w:ascii="仿宋_GB2312" w:hint="eastAsia"/>
          <w:szCs w:val="32"/>
        </w:rPr>
        <w:t>学生在弹性学制规定的年限内对综合培养计划的课程可以申请免修、免听和缓修。经批准方为有效。</w:t>
      </w:r>
    </w:p>
    <w:p w:rsidR="0040259A" w:rsidRPr="000B7D71" w:rsidRDefault="0040259A" w:rsidP="0040259A">
      <w:pPr>
        <w:ind w:firstLine="594"/>
        <w:rPr>
          <w:rFonts w:ascii="仿宋_GB2312"/>
          <w:szCs w:val="32"/>
        </w:rPr>
      </w:pPr>
    </w:p>
    <w:p w:rsidR="0040259A" w:rsidRPr="00202F13" w:rsidRDefault="0040259A" w:rsidP="0040259A">
      <w:pPr>
        <w:pStyle w:val="1"/>
        <w:jc w:val="center"/>
        <w:rPr>
          <w:rFonts w:ascii="黑体" w:hint="eastAsia"/>
          <w:bCs w:val="0"/>
          <w:szCs w:val="32"/>
        </w:rPr>
      </w:pPr>
      <w:r w:rsidRPr="00202F13">
        <w:rPr>
          <w:rFonts w:ascii="黑体" w:hint="eastAsia"/>
          <w:bCs w:val="0"/>
          <w:szCs w:val="32"/>
        </w:rPr>
        <w:t>课程考核与成绩记载</w:t>
      </w:r>
    </w:p>
    <w:p w:rsidR="00C6408D" w:rsidRPr="000B7D71" w:rsidRDefault="00363084" w:rsidP="00C6408D">
      <w:pPr>
        <w:ind w:firstLineChars="0" w:firstLine="594"/>
        <w:rPr>
          <w:rFonts w:ascii="仿宋_GB2312"/>
          <w:szCs w:val="32"/>
        </w:rPr>
      </w:pPr>
      <w:r w:rsidRPr="000B7D71">
        <w:rPr>
          <w:rFonts w:ascii="仿宋_GB2312" w:hint="eastAsia"/>
          <w:b/>
          <w:szCs w:val="32"/>
        </w:rPr>
        <w:t>第十四条</w:t>
      </w:r>
      <w:r w:rsidRPr="000B7D71">
        <w:rPr>
          <w:rFonts w:ascii="仿宋_GB2312" w:hint="eastAsia"/>
          <w:szCs w:val="32"/>
        </w:rPr>
        <w:t xml:space="preserve"> </w:t>
      </w:r>
      <w:r w:rsidR="0040259A" w:rsidRPr="000B7D71">
        <w:rPr>
          <w:rFonts w:ascii="仿宋_GB2312" w:hint="eastAsia"/>
          <w:szCs w:val="32"/>
        </w:rPr>
        <w:t>综合培养计划上凡计算学分的课程都要考核</w:t>
      </w:r>
      <w:r w:rsidR="00C6408D" w:rsidRPr="000B7D71">
        <w:rPr>
          <w:rFonts w:ascii="仿宋_GB2312" w:hint="eastAsia"/>
          <w:szCs w:val="32"/>
        </w:rPr>
        <w:t>，考核分考试与考查两种。</w:t>
      </w:r>
    </w:p>
    <w:p w:rsidR="0040259A" w:rsidRPr="000B7D71" w:rsidRDefault="00363084" w:rsidP="00363084">
      <w:pPr>
        <w:ind w:firstLineChars="0" w:firstLine="594"/>
        <w:rPr>
          <w:rFonts w:ascii="仿宋_GB2312"/>
          <w:szCs w:val="32"/>
        </w:rPr>
      </w:pPr>
      <w:r w:rsidRPr="000B7D71">
        <w:rPr>
          <w:rFonts w:ascii="仿宋_GB2312" w:hint="eastAsia"/>
          <w:b/>
          <w:szCs w:val="32"/>
        </w:rPr>
        <w:t>第十五条</w:t>
      </w:r>
      <w:r w:rsidRPr="000B7D71">
        <w:rPr>
          <w:rFonts w:ascii="仿宋_GB2312" w:hint="eastAsia"/>
          <w:szCs w:val="32"/>
        </w:rPr>
        <w:t xml:space="preserve"> </w:t>
      </w:r>
      <w:r w:rsidR="00C6408D" w:rsidRPr="000B7D71">
        <w:rPr>
          <w:rFonts w:ascii="仿宋_GB2312" w:hint="eastAsia"/>
          <w:szCs w:val="32"/>
        </w:rPr>
        <w:t>课程</w:t>
      </w:r>
      <w:r w:rsidR="0040259A" w:rsidRPr="000B7D71">
        <w:rPr>
          <w:rFonts w:ascii="仿宋_GB2312" w:hint="eastAsia"/>
          <w:szCs w:val="32"/>
        </w:rPr>
        <w:t>考核</w:t>
      </w:r>
      <w:r w:rsidR="00C6408D" w:rsidRPr="000B7D71">
        <w:rPr>
          <w:rFonts w:ascii="仿宋_GB2312" w:hint="eastAsia"/>
          <w:szCs w:val="32"/>
        </w:rPr>
        <w:t>合格即获得该门课程</w:t>
      </w:r>
      <w:r w:rsidR="0040259A" w:rsidRPr="000B7D71">
        <w:rPr>
          <w:rFonts w:ascii="仿宋_GB2312" w:hint="eastAsia"/>
          <w:szCs w:val="32"/>
        </w:rPr>
        <w:t>学分。</w:t>
      </w:r>
      <w:r w:rsidR="00C6408D" w:rsidRPr="000B7D71">
        <w:rPr>
          <w:rFonts w:ascii="仿宋_GB2312" w:hint="eastAsia"/>
          <w:szCs w:val="32"/>
        </w:rPr>
        <w:t>考核不合格的，按如下方式处理：</w:t>
      </w:r>
    </w:p>
    <w:p w:rsidR="00C6408D" w:rsidRPr="000B7D71" w:rsidRDefault="00C6408D" w:rsidP="00C6408D">
      <w:pPr>
        <w:ind w:firstLine="594"/>
        <w:rPr>
          <w:rFonts w:ascii="仿宋_GB2312"/>
          <w:szCs w:val="32"/>
        </w:rPr>
      </w:pPr>
      <w:r w:rsidRPr="000B7D71">
        <w:rPr>
          <w:rFonts w:ascii="仿宋_GB2312" w:hint="eastAsia"/>
          <w:szCs w:val="32"/>
        </w:rPr>
        <w:t>（一）必修课经首次考核不合格的，允许补考一次，补考仍不合格的，必须重修。</w:t>
      </w:r>
    </w:p>
    <w:p w:rsidR="00C6408D" w:rsidRPr="000B7D71" w:rsidRDefault="00C6408D" w:rsidP="00C6408D">
      <w:pPr>
        <w:ind w:firstLine="594"/>
        <w:rPr>
          <w:rFonts w:ascii="仿宋_GB2312"/>
          <w:szCs w:val="32"/>
        </w:rPr>
      </w:pPr>
      <w:r w:rsidRPr="000B7D71">
        <w:rPr>
          <w:rFonts w:ascii="仿宋_GB2312" w:hint="eastAsia"/>
          <w:szCs w:val="32"/>
        </w:rPr>
        <w:t>（二）专业选修课经首次考核不合格的，允许补考一次，经补考仍不合格的，视学院开课情况，可重修或重选；</w:t>
      </w:r>
    </w:p>
    <w:p w:rsidR="00C6408D" w:rsidRPr="000B7D71" w:rsidRDefault="00C6408D" w:rsidP="00C6408D">
      <w:pPr>
        <w:ind w:firstLine="594"/>
        <w:rPr>
          <w:rFonts w:ascii="仿宋_GB2312"/>
          <w:szCs w:val="32"/>
        </w:rPr>
      </w:pPr>
      <w:r w:rsidRPr="000B7D71">
        <w:rPr>
          <w:rFonts w:ascii="仿宋_GB2312" w:hint="eastAsia"/>
          <w:szCs w:val="32"/>
        </w:rPr>
        <w:t>（三）通选课考核不合格的，不予补考，只能重选。</w:t>
      </w:r>
    </w:p>
    <w:p w:rsidR="00C6408D" w:rsidRPr="000B7D71" w:rsidRDefault="00C6408D" w:rsidP="00C6408D">
      <w:pPr>
        <w:ind w:firstLine="594"/>
        <w:rPr>
          <w:rFonts w:ascii="仿宋_GB2312"/>
          <w:szCs w:val="32"/>
        </w:rPr>
      </w:pPr>
      <w:r w:rsidRPr="000B7D71">
        <w:rPr>
          <w:rFonts w:ascii="仿宋_GB2312" w:hint="eastAsia"/>
          <w:szCs w:val="32"/>
        </w:rPr>
        <w:t>（四）辅修专业教学计划中的课程考核不合格的，只能重修。</w:t>
      </w:r>
    </w:p>
    <w:p w:rsidR="00C6408D" w:rsidRPr="000B7D71" w:rsidRDefault="00C6408D" w:rsidP="00C6408D">
      <w:pPr>
        <w:ind w:firstLine="594"/>
        <w:rPr>
          <w:rFonts w:ascii="仿宋_GB2312"/>
          <w:szCs w:val="32"/>
        </w:rPr>
      </w:pPr>
      <w:r w:rsidRPr="000B7D71">
        <w:rPr>
          <w:rFonts w:ascii="仿宋_GB2312" w:hint="eastAsia"/>
          <w:szCs w:val="32"/>
        </w:rPr>
        <w:t>（五）补考及重修考核必须在学校规定的时间内进行。</w:t>
      </w:r>
    </w:p>
    <w:p w:rsidR="00C6408D" w:rsidRPr="000B7D71" w:rsidRDefault="00363084" w:rsidP="00363084">
      <w:pPr>
        <w:ind w:firstLine="596"/>
        <w:rPr>
          <w:rFonts w:ascii="仿宋_GB2312"/>
          <w:szCs w:val="32"/>
        </w:rPr>
      </w:pPr>
      <w:r w:rsidRPr="000B7D71">
        <w:rPr>
          <w:rFonts w:ascii="仿宋_GB2312" w:hint="eastAsia"/>
          <w:b/>
          <w:szCs w:val="32"/>
        </w:rPr>
        <w:t>第十六条</w:t>
      </w:r>
      <w:r w:rsidRPr="000B7D71">
        <w:rPr>
          <w:rFonts w:ascii="仿宋_GB2312" w:hint="eastAsia"/>
          <w:szCs w:val="32"/>
        </w:rPr>
        <w:t xml:space="preserve"> </w:t>
      </w:r>
      <w:r w:rsidR="00C6408D" w:rsidRPr="000B7D71">
        <w:rPr>
          <w:rFonts w:ascii="仿宋_GB2312" w:hint="eastAsia"/>
          <w:szCs w:val="32"/>
        </w:rPr>
        <w:t>未经批准擅自不参加课程考核者，不能取得该课程学分。</w:t>
      </w:r>
    </w:p>
    <w:p w:rsidR="00C6408D" w:rsidRPr="000B7D71" w:rsidRDefault="00363084" w:rsidP="00C6408D">
      <w:pPr>
        <w:ind w:firstLineChars="0" w:firstLine="594"/>
        <w:rPr>
          <w:rFonts w:ascii="仿宋_GB2312"/>
          <w:szCs w:val="32"/>
        </w:rPr>
      </w:pPr>
      <w:r w:rsidRPr="000B7D71">
        <w:rPr>
          <w:rFonts w:ascii="仿宋_GB2312" w:hint="eastAsia"/>
          <w:b/>
          <w:szCs w:val="32"/>
        </w:rPr>
        <w:lastRenderedPageBreak/>
        <w:t>第十七条</w:t>
      </w:r>
      <w:r w:rsidRPr="000B7D71">
        <w:rPr>
          <w:rFonts w:ascii="仿宋_GB2312" w:hint="eastAsia"/>
          <w:szCs w:val="32"/>
        </w:rPr>
        <w:t xml:space="preserve"> </w:t>
      </w:r>
      <w:r w:rsidR="00C6408D" w:rsidRPr="000B7D71">
        <w:rPr>
          <w:rFonts w:ascii="仿宋_GB2312" w:hint="eastAsia"/>
          <w:szCs w:val="32"/>
        </w:rPr>
        <w:t>学生</w:t>
      </w:r>
      <w:r w:rsidR="00621E38" w:rsidRPr="000B7D71">
        <w:rPr>
          <w:rFonts w:ascii="仿宋_GB2312" w:hint="eastAsia"/>
          <w:szCs w:val="32"/>
        </w:rPr>
        <w:t>缺课累计超过某门课程学时数1/3</w:t>
      </w:r>
      <w:r w:rsidR="00C6408D" w:rsidRPr="000B7D71">
        <w:rPr>
          <w:rFonts w:ascii="仿宋_GB2312" w:hint="eastAsia"/>
          <w:szCs w:val="32"/>
        </w:rPr>
        <w:t>，或</w:t>
      </w:r>
      <w:r w:rsidR="00621E38" w:rsidRPr="000B7D71">
        <w:rPr>
          <w:rFonts w:ascii="仿宋_GB2312" w:hint="eastAsia"/>
          <w:szCs w:val="32"/>
        </w:rPr>
        <w:t>缺交某门课程作业的次数累计超过总数的1/3</w:t>
      </w:r>
      <w:r w:rsidR="00C6408D" w:rsidRPr="000B7D71">
        <w:rPr>
          <w:rFonts w:ascii="仿宋_GB2312" w:hint="eastAsia"/>
          <w:szCs w:val="32"/>
        </w:rPr>
        <w:t>，取消学生该门课程的考核资格。</w:t>
      </w:r>
    </w:p>
    <w:p w:rsidR="0040259A" w:rsidRPr="000B7D71" w:rsidRDefault="00363084" w:rsidP="00363084">
      <w:pPr>
        <w:ind w:firstLine="596"/>
        <w:rPr>
          <w:rFonts w:ascii="仿宋_GB2312"/>
          <w:szCs w:val="32"/>
        </w:rPr>
      </w:pPr>
      <w:r w:rsidRPr="000B7D71">
        <w:rPr>
          <w:rFonts w:ascii="仿宋_GB2312" w:hint="eastAsia"/>
          <w:b/>
          <w:szCs w:val="32"/>
        </w:rPr>
        <w:t>第十八条</w:t>
      </w:r>
      <w:r w:rsidRPr="000B7D71">
        <w:rPr>
          <w:rFonts w:ascii="仿宋_GB2312" w:hint="eastAsia"/>
          <w:szCs w:val="32"/>
        </w:rPr>
        <w:t xml:space="preserve"> </w:t>
      </w:r>
      <w:r w:rsidR="00621E38" w:rsidRPr="000B7D71">
        <w:rPr>
          <w:rFonts w:ascii="仿宋_GB2312" w:hint="eastAsia"/>
          <w:szCs w:val="32"/>
        </w:rPr>
        <w:t>学生成绩记载</w:t>
      </w:r>
      <w:r w:rsidR="0040259A" w:rsidRPr="000B7D71">
        <w:rPr>
          <w:rFonts w:ascii="仿宋_GB2312" w:hint="eastAsia"/>
          <w:szCs w:val="32"/>
        </w:rPr>
        <w:t>可采用百分制、五级制或两级制三种计分方式。</w:t>
      </w:r>
    </w:p>
    <w:p w:rsidR="0040259A" w:rsidRPr="000B7D71" w:rsidRDefault="00363084" w:rsidP="00363084">
      <w:pPr>
        <w:ind w:firstLine="596"/>
        <w:rPr>
          <w:rFonts w:ascii="仿宋_GB2312"/>
          <w:szCs w:val="32"/>
        </w:rPr>
      </w:pPr>
      <w:r w:rsidRPr="000B7D71">
        <w:rPr>
          <w:rFonts w:ascii="仿宋_GB2312" w:hint="eastAsia"/>
          <w:b/>
          <w:szCs w:val="32"/>
        </w:rPr>
        <w:t>第十九条</w:t>
      </w:r>
      <w:r w:rsidRPr="000B7D71">
        <w:rPr>
          <w:rFonts w:ascii="仿宋_GB2312" w:hint="eastAsia"/>
          <w:szCs w:val="32"/>
        </w:rPr>
        <w:t xml:space="preserve"> </w:t>
      </w:r>
      <w:r w:rsidR="0040259A" w:rsidRPr="000B7D71">
        <w:rPr>
          <w:rFonts w:ascii="仿宋_GB2312" w:hint="eastAsia"/>
          <w:szCs w:val="32"/>
        </w:rPr>
        <w:t>平均学分绩点</w:t>
      </w:r>
    </w:p>
    <w:p w:rsidR="00652ADA" w:rsidRPr="000B7D71" w:rsidRDefault="0040259A" w:rsidP="0040259A">
      <w:pPr>
        <w:ind w:firstLine="594"/>
        <w:rPr>
          <w:rFonts w:ascii="仿宋_GB2312"/>
          <w:szCs w:val="32"/>
        </w:rPr>
      </w:pPr>
      <w:r w:rsidRPr="000B7D71">
        <w:rPr>
          <w:rFonts w:ascii="仿宋_GB2312" w:hint="eastAsia"/>
          <w:szCs w:val="32"/>
        </w:rPr>
        <w:t>（一）平均学分绩点（GPA）采用4分制，</w:t>
      </w:r>
      <w:r w:rsidR="00652ADA" w:rsidRPr="000B7D71">
        <w:rPr>
          <w:rFonts w:ascii="仿宋_GB2312" w:hint="eastAsia"/>
          <w:szCs w:val="32"/>
        </w:rPr>
        <w:t>按学期计算的平均学分绩点称为学期绩点，按学年计算平均学分绩点称为学年绩点，按入学后至毕业前计算平均学分绩点为总平均学分绩点。</w:t>
      </w:r>
    </w:p>
    <w:p w:rsidR="0040259A" w:rsidRPr="000B7D71" w:rsidRDefault="00652ADA" w:rsidP="0040259A">
      <w:pPr>
        <w:ind w:firstLine="594"/>
        <w:rPr>
          <w:rFonts w:ascii="仿宋_GB2312"/>
          <w:szCs w:val="32"/>
        </w:rPr>
      </w:pPr>
      <w:r w:rsidRPr="000B7D71">
        <w:rPr>
          <w:rFonts w:ascii="仿宋_GB2312" w:hint="eastAsia"/>
          <w:szCs w:val="32"/>
        </w:rPr>
        <w:t>（二）平均学分绩点</w:t>
      </w:r>
      <w:r w:rsidR="0040259A" w:rsidRPr="000B7D71">
        <w:rPr>
          <w:rFonts w:ascii="仿宋_GB2312" w:hint="eastAsia"/>
          <w:szCs w:val="32"/>
        </w:rPr>
        <w:t>计算公式如下：</w:t>
      </w:r>
    </w:p>
    <w:p w:rsidR="0040259A" w:rsidRPr="000B7D71" w:rsidRDefault="0040259A" w:rsidP="0040259A">
      <w:pPr>
        <w:pStyle w:val="a3"/>
        <w:spacing w:line="360" w:lineRule="auto"/>
        <w:ind w:firstLineChars="67" w:firstLine="199"/>
        <w:jc w:val="center"/>
        <w:rPr>
          <w:rFonts w:ascii="仿宋_GB2312" w:hAnsi="Times New Roman"/>
          <w:sz w:val="32"/>
          <w:szCs w:val="32"/>
        </w:rPr>
      </w:pPr>
      <w:r w:rsidRPr="000B7D71">
        <w:rPr>
          <w:rFonts w:ascii="仿宋_GB2312" w:hAnsi="Times New Roman" w:hint="eastAsia"/>
          <w:sz w:val="32"/>
          <w:szCs w:val="32"/>
        </w:rPr>
        <w:object w:dxaOrig="3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5pt;height:36.45pt" o:ole="">
            <v:imagedata r:id="rId7" o:title=""/>
          </v:shape>
          <o:OLEObject Type="Embed" ProgID="Equation.3" ShapeID="_x0000_i1025" DrawAspect="Content" ObjectID="_1561269511" r:id="rId8"/>
        </w:object>
      </w:r>
    </w:p>
    <w:p w:rsidR="0040259A" w:rsidRPr="000B7D71" w:rsidRDefault="00652ADA" w:rsidP="0040259A">
      <w:pPr>
        <w:ind w:firstLine="594"/>
        <w:rPr>
          <w:rFonts w:ascii="仿宋_GB2312"/>
          <w:szCs w:val="32"/>
        </w:rPr>
      </w:pPr>
      <w:r w:rsidRPr="000B7D71">
        <w:rPr>
          <w:rFonts w:ascii="仿宋_GB2312" w:hint="eastAsia"/>
          <w:szCs w:val="32"/>
        </w:rPr>
        <w:t>（三）</w:t>
      </w:r>
      <w:r w:rsidR="0040259A" w:rsidRPr="000B7D71">
        <w:rPr>
          <w:rFonts w:ascii="仿宋_GB2312" w:hint="eastAsia"/>
          <w:szCs w:val="32"/>
        </w:rPr>
        <w:t>不同成绩评定标准下课程成绩与课程绩点的对应关系：</w:t>
      </w:r>
    </w:p>
    <w:tbl>
      <w:tblPr>
        <w:tblW w:w="6747" w:type="dxa"/>
        <w:jc w:val="center"/>
        <w:tblLook w:val="04A0"/>
      </w:tblPr>
      <w:tblGrid>
        <w:gridCol w:w="1255"/>
        <w:gridCol w:w="1022"/>
        <w:gridCol w:w="236"/>
        <w:gridCol w:w="1124"/>
        <w:gridCol w:w="886"/>
        <w:gridCol w:w="227"/>
        <w:gridCol w:w="1111"/>
        <w:gridCol w:w="886"/>
      </w:tblGrid>
      <w:tr w:rsidR="0040259A" w:rsidRPr="000B7D71" w:rsidTr="0021477A">
        <w:trPr>
          <w:trHeight w:val="285"/>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百分制</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课程绩点</w:t>
            </w:r>
          </w:p>
        </w:tc>
        <w:tc>
          <w:tcPr>
            <w:tcW w:w="236" w:type="dxa"/>
            <w:vMerge w:val="restart"/>
            <w:tcBorders>
              <w:top w:val="nil"/>
              <w:left w:val="single" w:sz="4" w:space="0" w:color="auto"/>
              <w:bottom w:val="single" w:sz="4" w:space="0" w:color="auto"/>
              <w:right w:val="single" w:sz="4" w:space="0" w:color="auto"/>
            </w:tcBorders>
            <w:shd w:val="clear" w:color="auto" w:fill="auto"/>
            <w:hideMark/>
          </w:tcPr>
          <w:p w:rsidR="0040259A" w:rsidRPr="000B7D71" w:rsidRDefault="0040259A" w:rsidP="007454BA">
            <w:pPr>
              <w:ind w:firstLineChars="0" w:firstLine="0"/>
              <w:jc w:val="center"/>
              <w:rPr>
                <w:rFonts w:ascii="仿宋_GB2312"/>
                <w:szCs w:val="32"/>
              </w:rPr>
            </w:pPr>
          </w:p>
          <w:p w:rsidR="0021477A" w:rsidRPr="000B7D71" w:rsidRDefault="0021477A" w:rsidP="007454BA">
            <w:pPr>
              <w:ind w:firstLineChars="0" w:firstLine="0"/>
              <w:jc w:val="center"/>
              <w:rPr>
                <w:rFonts w:ascii="仿宋_GB2312"/>
                <w:szCs w:val="32"/>
              </w:rPr>
            </w:pPr>
          </w:p>
          <w:p w:rsidR="0021477A" w:rsidRPr="000B7D71" w:rsidRDefault="0021477A" w:rsidP="007454BA">
            <w:pPr>
              <w:ind w:firstLineChars="0" w:firstLine="0"/>
              <w:jc w:val="center"/>
              <w:rPr>
                <w:rFonts w:ascii="仿宋_GB2312"/>
                <w:szCs w:val="32"/>
              </w:rPr>
            </w:pPr>
            <w:r w:rsidRPr="000B7D71">
              <w:rPr>
                <w:rFonts w:ascii="仿宋_GB2312" w:hint="eastAsia"/>
                <w:szCs w:val="32"/>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五级制</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课程绩点</w:t>
            </w:r>
          </w:p>
        </w:tc>
        <w:tc>
          <w:tcPr>
            <w:tcW w:w="2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59A" w:rsidRPr="000B7D71" w:rsidRDefault="0040259A" w:rsidP="007454BA">
            <w:pPr>
              <w:ind w:firstLineChars="0" w:firstLine="0"/>
              <w:jc w:val="center"/>
              <w:rPr>
                <w:rFonts w:ascii="仿宋_GB2312"/>
                <w:szCs w:val="32"/>
              </w:rPr>
            </w:pP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二级制</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课程绩点</w:t>
            </w:r>
          </w:p>
        </w:tc>
      </w:tr>
      <w:tr w:rsidR="0040259A" w:rsidRPr="000B7D71" w:rsidTr="0021477A">
        <w:trPr>
          <w:trHeight w:val="49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90-100</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4</w:t>
            </w:r>
            <w:r w:rsidR="00363084" w:rsidRPr="000B7D71">
              <w:rPr>
                <w:rFonts w:ascii="仿宋_GB2312" w:hint="eastAsia"/>
                <w:szCs w:val="32"/>
              </w:rPr>
              <w:t>.0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优</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4</w:t>
            </w:r>
            <w:r w:rsidR="00363084" w:rsidRPr="000B7D71">
              <w:rPr>
                <w:rFonts w:ascii="仿宋_GB2312" w:hint="eastAsia"/>
                <w:szCs w:val="32"/>
              </w:rPr>
              <w:t>.0</w:t>
            </w: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通过</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3</w:t>
            </w:r>
            <w:r w:rsidR="00363084" w:rsidRPr="000B7D71">
              <w:rPr>
                <w:rFonts w:ascii="仿宋_GB2312" w:hint="eastAsia"/>
                <w:szCs w:val="32"/>
              </w:rPr>
              <w:t>.0</w:t>
            </w: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85-89.9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3.7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82-84.9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3.3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良</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3.7</w:t>
            </w: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78-81.9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3</w:t>
            </w:r>
            <w:r w:rsidR="00363084" w:rsidRPr="000B7D71">
              <w:rPr>
                <w:rFonts w:ascii="仿宋_GB2312" w:hint="eastAsia"/>
                <w:szCs w:val="32"/>
              </w:rPr>
              <w:t>.0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75-77.9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2.7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中</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2.7</w:t>
            </w: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71-74.9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2.3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不通过</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0</w:t>
            </w: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lastRenderedPageBreak/>
              <w:t>66-70.9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2</w:t>
            </w:r>
            <w:r w:rsidR="00363084" w:rsidRPr="000B7D71">
              <w:rPr>
                <w:rFonts w:ascii="仿宋_GB2312" w:hint="eastAsia"/>
                <w:szCs w:val="32"/>
              </w:rPr>
              <w:t>.0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及格</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1.7</w:t>
            </w: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left"/>
              <w:rPr>
                <w:rFonts w:ascii="仿宋_GB2312"/>
                <w:szCs w:val="32"/>
              </w:rPr>
            </w:pPr>
          </w:p>
        </w:tc>
      </w:tr>
      <w:tr w:rsidR="0040259A" w:rsidRPr="000B7D71" w:rsidTr="0021477A">
        <w:trPr>
          <w:trHeight w:val="315"/>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62-65.9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1.7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left"/>
              <w:rPr>
                <w:rFonts w:ascii="仿宋_GB2312"/>
                <w:szCs w:val="32"/>
              </w:rPr>
            </w:pPr>
          </w:p>
        </w:tc>
      </w:tr>
      <w:tr w:rsidR="0040259A" w:rsidRPr="000B7D71" w:rsidTr="0021477A">
        <w:trPr>
          <w:trHeight w:val="364"/>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60-61.9</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1.3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不及格</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0</w:t>
            </w: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left"/>
              <w:rPr>
                <w:rFonts w:ascii="仿宋_GB2312"/>
                <w:szCs w:val="32"/>
              </w:rPr>
            </w:pPr>
          </w:p>
        </w:tc>
      </w:tr>
      <w:tr w:rsidR="0040259A" w:rsidRPr="000B7D71" w:rsidTr="0021477A">
        <w:trPr>
          <w:trHeight w:val="430"/>
          <w:jc w:val="center"/>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60以下</w:t>
            </w:r>
          </w:p>
        </w:tc>
        <w:tc>
          <w:tcPr>
            <w:tcW w:w="1030" w:type="dxa"/>
            <w:tcBorders>
              <w:top w:val="nil"/>
              <w:left w:val="nil"/>
              <w:bottom w:val="single" w:sz="4" w:space="0" w:color="auto"/>
              <w:right w:val="single" w:sz="4" w:space="0" w:color="auto"/>
            </w:tcBorders>
            <w:shd w:val="clear" w:color="auto" w:fill="auto"/>
            <w:vAlign w:val="center"/>
            <w:hideMark/>
          </w:tcPr>
          <w:p w:rsidR="0040259A" w:rsidRPr="000B7D71" w:rsidRDefault="0040259A" w:rsidP="007454BA">
            <w:pPr>
              <w:ind w:firstLineChars="0" w:firstLine="0"/>
              <w:jc w:val="center"/>
              <w:rPr>
                <w:rFonts w:ascii="仿宋_GB2312"/>
                <w:szCs w:val="32"/>
              </w:rPr>
            </w:pPr>
            <w:r w:rsidRPr="000B7D71">
              <w:rPr>
                <w:rFonts w:ascii="仿宋_GB2312" w:hint="eastAsia"/>
                <w:szCs w:val="32"/>
              </w:rPr>
              <w:t>0</w:t>
            </w:r>
          </w:p>
        </w:tc>
        <w:tc>
          <w:tcPr>
            <w:tcW w:w="236" w:type="dxa"/>
            <w:vMerge/>
            <w:tcBorders>
              <w:top w:val="single" w:sz="4" w:space="0" w:color="auto"/>
              <w:left w:val="single" w:sz="4" w:space="0" w:color="auto"/>
              <w:bottom w:val="nil"/>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35"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227" w:type="dxa"/>
            <w:vMerge/>
            <w:tcBorders>
              <w:top w:val="single" w:sz="4" w:space="0" w:color="auto"/>
              <w:left w:val="single" w:sz="4" w:space="0" w:color="auto"/>
              <w:bottom w:val="nil"/>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1122"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center"/>
              <w:rPr>
                <w:rFonts w:ascii="仿宋_GB2312"/>
                <w:szCs w:val="32"/>
              </w:rPr>
            </w:pPr>
          </w:p>
        </w:tc>
        <w:tc>
          <w:tcPr>
            <w:tcW w:w="890" w:type="dxa"/>
            <w:vMerge/>
            <w:tcBorders>
              <w:top w:val="nil"/>
              <w:left w:val="single" w:sz="4" w:space="0" w:color="auto"/>
              <w:bottom w:val="single" w:sz="4" w:space="0" w:color="auto"/>
              <w:right w:val="single" w:sz="4" w:space="0" w:color="auto"/>
            </w:tcBorders>
            <w:vAlign w:val="center"/>
            <w:hideMark/>
          </w:tcPr>
          <w:p w:rsidR="0040259A" w:rsidRPr="000B7D71" w:rsidRDefault="0040259A" w:rsidP="007454BA">
            <w:pPr>
              <w:ind w:firstLineChars="0" w:firstLine="0"/>
              <w:jc w:val="left"/>
              <w:rPr>
                <w:rFonts w:ascii="仿宋_GB2312"/>
                <w:szCs w:val="32"/>
              </w:rPr>
            </w:pPr>
          </w:p>
        </w:tc>
      </w:tr>
    </w:tbl>
    <w:p w:rsidR="0040259A" w:rsidRPr="000B7D71" w:rsidRDefault="0040259A" w:rsidP="0040259A">
      <w:pPr>
        <w:ind w:firstLine="594"/>
        <w:rPr>
          <w:rFonts w:ascii="仿宋_GB2312"/>
          <w:szCs w:val="32"/>
        </w:rPr>
      </w:pPr>
      <w:r w:rsidRPr="000B7D71">
        <w:rPr>
          <w:rFonts w:ascii="仿宋_GB2312" w:hint="eastAsia"/>
          <w:szCs w:val="32"/>
        </w:rPr>
        <w:t>（</w:t>
      </w:r>
      <w:r w:rsidR="00652ADA" w:rsidRPr="000B7D71">
        <w:rPr>
          <w:rFonts w:ascii="仿宋_GB2312" w:hint="eastAsia"/>
          <w:szCs w:val="32"/>
        </w:rPr>
        <w:t>四</w:t>
      </w:r>
      <w:r w:rsidRPr="000B7D71">
        <w:rPr>
          <w:rFonts w:ascii="仿宋_GB2312" w:hint="eastAsia"/>
          <w:szCs w:val="32"/>
        </w:rPr>
        <w:t>）用于校内授学位、评优或转专业的平均学分绩点计算办法：</w:t>
      </w:r>
    </w:p>
    <w:p w:rsidR="0040259A" w:rsidRPr="000B7D71" w:rsidRDefault="0040259A" w:rsidP="0040259A">
      <w:pPr>
        <w:ind w:firstLine="594"/>
        <w:rPr>
          <w:rFonts w:ascii="仿宋_GB2312"/>
          <w:szCs w:val="32"/>
        </w:rPr>
      </w:pPr>
      <w:r w:rsidRPr="000B7D71">
        <w:rPr>
          <w:rFonts w:ascii="仿宋_GB2312" w:hint="eastAsia"/>
          <w:szCs w:val="32"/>
        </w:rPr>
        <w:t>1、平均学分绩点计算的课程为专业教学计划要求的课程；</w:t>
      </w:r>
    </w:p>
    <w:p w:rsidR="0040259A" w:rsidRPr="000B7D71" w:rsidRDefault="0040259A" w:rsidP="0040259A">
      <w:pPr>
        <w:ind w:firstLine="594"/>
        <w:rPr>
          <w:rFonts w:ascii="仿宋_GB2312"/>
          <w:szCs w:val="32"/>
        </w:rPr>
      </w:pPr>
      <w:r w:rsidRPr="000B7D71">
        <w:rPr>
          <w:rFonts w:ascii="仿宋_GB2312" w:hint="eastAsia"/>
          <w:szCs w:val="32"/>
        </w:rPr>
        <w:t>2、通选课、辅修专业课程和课外学分不列入平均学分绩点的计算；</w:t>
      </w:r>
    </w:p>
    <w:p w:rsidR="0040259A" w:rsidRPr="000B7D71" w:rsidRDefault="0040259A" w:rsidP="0040259A">
      <w:pPr>
        <w:ind w:firstLine="594"/>
        <w:rPr>
          <w:rFonts w:ascii="仿宋_GB2312"/>
          <w:szCs w:val="32"/>
        </w:rPr>
      </w:pPr>
      <w:r w:rsidRPr="000B7D71">
        <w:rPr>
          <w:rFonts w:ascii="仿宋_GB2312" w:hint="eastAsia"/>
          <w:szCs w:val="32"/>
        </w:rPr>
        <w:t>3、所有课程均按学生首次考核取得的课程成绩计算绩点；不合格的课程及补考、重修通过的课程，绩点均为0；</w:t>
      </w:r>
    </w:p>
    <w:p w:rsidR="0040259A" w:rsidRPr="000B7D71" w:rsidRDefault="0040259A" w:rsidP="0040259A">
      <w:pPr>
        <w:ind w:firstLine="594"/>
        <w:rPr>
          <w:rFonts w:ascii="仿宋_GB2312"/>
          <w:szCs w:val="32"/>
        </w:rPr>
      </w:pPr>
      <w:r w:rsidRPr="000B7D71">
        <w:rPr>
          <w:rFonts w:ascii="仿宋_GB2312" w:hint="eastAsia"/>
          <w:szCs w:val="32"/>
        </w:rPr>
        <w:t>4、经批准缓修或缓考通过的课程绩点可以计算在修读学期的平均学分绩点内；</w:t>
      </w:r>
    </w:p>
    <w:p w:rsidR="0040259A" w:rsidRPr="000B7D71" w:rsidRDefault="0040259A" w:rsidP="0040259A">
      <w:pPr>
        <w:ind w:firstLine="594"/>
        <w:rPr>
          <w:rFonts w:ascii="仿宋_GB2312"/>
          <w:szCs w:val="32"/>
        </w:rPr>
      </w:pPr>
      <w:r w:rsidRPr="000B7D71">
        <w:rPr>
          <w:rFonts w:ascii="仿宋_GB2312" w:hint="eastAsia"/>
          <w:szCs w:val="32"/>
        </w:rPr>
        <w:t>（</w:t>
      </w:r>
      <w:r w:rsidR="00363084" w:rsidRPr="000B7D71">
        <w:rPr>
          <w:rFonts w:ascii="仿宋_GB2312" w:hint="eastAsia"/>
          <w:szCs w:val="32"/>
        </w:rPr>
        <w:t>五</w:t>
      </w:r>
      <w:r w:rsidRPr="000B7D71">
        <w:rPr>
          <w:rFonts w:ascii="仿宋_GB2312" w:hint="eastAsia"/>
          <w:szCs w:val="32"/>
        </w:rPr>
        <w:t>）用于出国/境的平均学分绩点计算办法：</w:t>
      </w:r>
    </w:p>
    <w:p w:rsidR="0040259A" w:rsidRPr="000B7D71" w:rsidRDefault="0040259A" w:rsidP="0040259A">
      <w:pPr>
        <w:ind w:firstLine="594"/>
        <w:rPr>
          <w:rFonts w:ascii="仿宋_GB2312"/>
          <w:szCs w:val="32"/>
        </w:rPr>
      </w:pPr>
      <w:r w:rsidRPr="000B7D71">
        <w:rPr>
          <w:rFonts w:ascii="仿宋_GB2312" w:hint="eastAsia"/>
          <w:szCs w:val="32"/>
        </w:rPr>
        <w:t>1、平均学分绩点计算的课程为专业教学计划要求的课程；</w:t>
      </w:r>
    </w:p>
    <w:p w:rsidR="0040259A" w:rsidRPr="000B7D71" w:rsidRDefault="0040259A" w:rsidP="0040259A">
      <w:pPr>
        <w:ind w:firstLine="594"/>
        <w:rPr>
          <w:rFonts w:ascii="仿宋_GB2312"/>
          <w:szCs w:val="32"/>
        </w:rPr>
      </w:pPr>
      <w:r w:rsidRPr="000B7D71">
        <w:rPr>
          <w:rFonts w:ascii="仿宋_GB2312" w:hint="eastAsia"/>
          <w:szCs w:val="32"/>
        </w:rPr>
        <w:t>2、通选课、辅修专业课程和课外学分不列入平均学分绩点的计算；</w:t>
      </w:r>
    </w:p>
    <w:p w:rsidR="0040259A" w:rsidRPr="000B7D71" w:rsidRDefault="0040259A" w:rsidP="0040259A">
      <w:pPr>
        <w:ind w:firstLine="594"/>
        <w:rPr>
          <w:rFonts w:ascii="仿宋_GB2312"/>
          <w:szCs w:val="32"/>
        </w:rPr>
      </w:pPr>
      <w:r w:rsidRPr="000B7D71">
        <w:rPr>
          <w:rFonts w:ascii="仿宋_GB2312" w:hint="eastAsia"/>
          <w:szCs w:val="32"/>
        </w:rPr>
        <w:t>3、所有课程均按学生考核取得的最高课程成绩计算绩点，不合格课程不计算绩点；</w:t>
      </w:r>
    </w:p>
    <w:p w:rsidR="0040259A" w:rsidRPr="000B7D71" w:rsidRDefault="00363084" w:rsidP="00363084">
      <w:pPr>
        <w:ind w:firstLine="596"/>
        <w:rPr>
          <w:rFonts w:ascii="仿宋_GB2312"/>
          <w:szCs w:val="32"/>
        </w:rPr>
      </w:pPr>
      <w:r w:rsidRPr="000B7D71">
        <w:rPr>
          <w:rFonts w:ascii="仿宋_GB2312" w:hint="eastAsia"/>
          <w:b/>
          <w:szCs w:val="32"/>
        </w:rPr>
        <w:t>第二十条</w:t>
      </w:r>
      <w:r w:rsidRPr="000B7D71">
        <w:rPr>
          <w:rFonts w:ascii="仿宋_GB2312" w:hint="eastAsia"/>
          <w:szCs w:val="32"/>
        </w:rPr>
        <w:t xml:space="preserve"> </w:t>
      </w:r>
      <w:r w:rsidR="0040259A" w:rsidRPr="000B7D71">
        <w:rPr>
          <w:rFonts w:ascii="仿宋_GB2312" w:hint="eastAsia"/>
          <w:szCs w:val="32"/>
        </w:rPr>
        <w:t>成绩评定以学期末考核、课程结束时的考核成绩为主，适当参考平时成绩。平均成绩占一定比例，具体比例由任课教师确定，并向学生公布。</w:t>
      </w:r>
    </w:p>
    <w:p w:rsidR="0040259A" w:rsidRPr="000B7D71" w:rsidRDefault="00363084" w:rsidP="00363084">
      <w:pPr>
        <w:ind w:firstLine="596"/>
        <w:rPr>
          <w:rFonts w:ascii="仿宋_GB2312"/>
          <w:color w:val="FF0000"/>
          <w:szCs w:val="32"/>
          <w:u w:val="single"/>
        </w:rPr>
      </w:pPr>
      <w:r w:rsidRPr="000B7D71">
        <w:rPr>
          <w:rFonts w:ascii="仿宋_GB2312" w:hint="eastAsia"/>
          <w:b/>
          <w:szCs w:val="32"/>
        </w:rPr>
        <w:lastRenderedPageBreak/>
        <w:t>第二十一条</w:t>
      </w:r>
      <w:r w:rsidRPr="000B7D71">
        <w:rPr>
          <w:rFonts w:ascii="仿宋_GB2312" w:hint="eastAsia"/>
          <w:szCs w:val="32"/>
        </w:rPr>
        <w:t xml:space="preserve"> </w:t>
      </w:r>
      <w:r w:rsidR="0040259A" w:rsidRPr="000B7D71">
        <w:rPr>
          <w:rFonts w:ascii="仿宋_GB2312" w:hint="eastAsia"/>
          <w:szCs w:val="32"/>
        </w:rPr>
        <w:t>课程成绩记载由任课教师于考试结束后，在教务处规定时间内录入教学管理信息系统。</w:t>
      </w:r>
    </w:p>
    <w:p w:rsidR="0040259A" w:rsidRPr="00202F13" w:rsidRDefault="0040259A" w:rsidP="0040259A">
      <w:pPr>
        <w:pStyle w:val="1"/>
        <w:jc w:val="center"/>
        <w:rPr>
          <w:rFonts w:ascii="黑体" w:hint="eastAsia"/>
          <w:bCs w:val="0"/>
          <w:szCs w:val="32"/>
        </w:rPr>
      </w:pPr>
      <w:r w:rsidRPr="00202F13">
        <w:rPr>
          <w:rFonts w:ascii="黑体" w:hint="eastAsia"/>
          <w:bCs w:val="0"/>
          <w:szCs w:val="32"/>
        </w:rPr>
        <w:t>其  它</w:t>
      </w:r>
    </w:p>
    <w:p w:rsidR="0096292E" w:rsidRPr="000B7D71" w:rsidRDefault="00363084" w:rsidP="00363084">
      <w:pPr>
        <w:ind w:firstLine="596"/>
        <w:rPr>
          <w:rFonts w:ascii="仿宋_GB2312"/>
          <w:szCs w:val="32"/>
        </w:rPr>
      </w:pPr>
      <w:r w:rsidRPr="000B7D71">
        <w:rPr>
          <w:rFonts w:ascii="仿宋_GB2312" w:hint="eastAsia"/>
          <w:b/>
          <w:szCs w:val="32"/>
        </w:rPr>
        <w:t>第二十二条</w:t>
      </w:r>
      <w:r w:rsidRPr="000B7D71">
        <w:rPr>
          <w:rFonts w:ascii="仿宋_GB2312" w:hint="eastAsia"/>
          <w:szCs w:val="32"/>
        </w:rPr>
        <w:t xml:space="preserve"> </w:t>
      </w:r>
      <w:r w:rsidR="0096292E" w:rsidRPr="000B7D71">
        <w:rPr>
          <w:rFonts w:ascii="仿宋_GB2312" w:hint="eastAsia"/>
          <w:szCs w:val="32"/>
        </w:rPr>
        <w:t>本办法为我校学分制教学管理的纲领性文件，是学校制定其他教学管理规定的基本依据；对学生的学籍管理，依据“华南理工大学广州学院全日制本科学生学籍管理细则”；</w:t>
      </w:r>
    </w:p>
    <w:p w:rsidR="0040259A" w:rsidRPr="000B7D71" w:rsidRDefault="00363084" w:rsidP="00363084">
      <w:pPr>
        <w:ind w:firstLine="596"/>
        <w:rPr>
          <w:rFonts w:ascii="仿宋_GB2312"/>
          <w:szCs w:val="32"/>
        </w:rPr>
      </w:pPr>
      <w:r w:rsidRPr="000B7D71">
        <w:rPr>
          <w:rFonts w:ascii="仿宋_GB2312" w:hint="eastAsia"/>
          <w:b/>
          <w:szCs w:val="32"/>
        </w:rPr>
        <w:t>第二十三条</w:t>
      </w:r>
      <w:r w:rsidRPr="000B7D71">
        <w:rPr>
          <w:rFonts w:ascii="仿宋_GB2312" w:hint="eastAsia"/>
          <w:szCs w:val="32"/>
        </w:rPr>
        <w:t xml:space="preserve"> </w:t>
      </w:r>
      <w:r w:rsidR="0040259A" w:rsidRPr="000B7D71">
        <w:rPr>
          <w:rFonts w:ascii="仿宋_GB2312" w:hint="eastAsia"/>
          <w:szCs w:val="32"/>
        </w:rPr>
        <w:t>本办法经二</w:t>
      </w:r>
      <w:r w:rsidR="0040259A" w:rsidRPr="000B7D71">
        <w:rPr>
          <w:rFonts w:ascii="仿宋_GB2312" w:eastAsia="宋体" w:hAnsi="宋体" w:cs="宋体" w:hint="eastAsia"/>
          <w:szCs w:val="32"/>
        </w:rPr>
        <w:t>〇</w:t>
      </w:r>
      <w:r w:rsidR="0040259A" w:rsidRPr="000B7D71">
        <w:rPr>
          <w:rFonts w:ascii="仿宋_GB2312" w:hAnsi="仿宋_GB2312" w:cs="仿宋_GB2312" w:hint="eastAsia"/>
          <w:szCs w:val="32"/>
        </w:rPr>
        <w:t>一七</w:t>
      </w:r>
      <w:r w:rsidR="0040259A" w:rsidRPr="000B7D71">
        <w:rPr>
          <w:rFonts w:ascii="仿宋_GB2312" w:hint="eastAsia"/>
          <w:szCs w:val="32"/>
        </w:rPr>
        <w:t>年六月修订，自2017年9月1日</w:t>
      </w:r>
      <w:r w:rsidR="009E762A" w:rsidRPr="000B7D71">
        <w:rPr>
          <w:rFonts w:ascii="仿宋_GB2312" w:hint="eastAsia"/>
          <w:szCs w:val="32"/>
        </w:rPr>
        <w:t>起</w:t>
      </w:r>
      <w:r w:rsidR="0040259A" w:rsidRPr="000B7D71">
        <w:rPr>
          <w:rFonts w:ascii="仿宋_GB2312" w:hint="eastAsia"/>
          <w:szCs w:val="32"/>
        </w:rPr>
        <w:t>执行，适用于各年级在校生。本办法由教务处负责解释。其它未尽事宜另行规定。</w:t>
      </w:r>
    </w:p>
    <w:sectPr w:rsidR="0040259A" w:rsidRPr="000B7D71" w:rsidSect="00C356E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docGrid w:type="linesAndChars" w:linePitch="634"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11B" w:rsidRDefault="0030411B" w:rsidP="00C6408D">
      <w:pPr>
        <w:ind w:firstLine="640"/>
      </w:pPr>
      <w:r>
        <w:separator/>
      </w:r>
    </w:p>
  </w:endnote>
  <w:endnote w:type="continuationSeparator" w:id="1">
    <w:p w:rsidR="0030411B" w:rsidRDefault="0030411B" w:rsidP="00C6408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3" w:rsidRDefault="0030411B" w:rsidP="00FC5A53">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332267"/>
      <w:docPartObj>
        <w:docPartGallery w:val="Page Numbers (Bottom of Page)"/>
        <w:docPartUnique/>
      </w:docPartObj>
    </w:sdtPr>
    <w:sdtContent>
      <w:sdt>
        <w:sdtPr>
          <w:id w:val="171357217"/>
          <w:docPartObj>
            <w:docPartGallery w:val="Page Numbers (Top of Page)"/>
            <w:docPartUnique/>
          </w:docPartObj>
        </w:sdtPr>
        <w:sdtContent>
          <w:p w:rsidR="009A083B" w:rsidRDefault="009A083B" w:rsidP="009A083B">
            <w:pPr>
              <w:pStyle w:val="a5"/>
              <w:ind w:firstLine="360"/>
              <w:jc w:val="center"/>
            </w:pPr>
            <w:r>
              <w:rPr>
                <w:lang w:val="zh-CN"/>
              </w:rPr>
              <w:t xml:space="preserve"> </w:t>
            </w:r>
            <w:r w:rsidR="00B67FFE">
              <w:rPr>
                <w:b/>
                <w:sz w:val="24"/>
                <w:szCs w:val="24"/>
              </w:rPr>
              <w:fldChar w:fldCharType="begin"/>
            </w:r>
            <w:r>
              <w:rPr>
                <w:b/>
              </w:rPr>
              <w:instrText>PAGE</w:instrText>
            </w:r>
            <w:r w:rsidR="00B67FFE">
              <w:rPr>
                <w:b/>
                <w:sz w:val="24"/>
                <w:szCs w:val="24"/>
              </w:rPr>
              <w:fldChar w:fldCharType="separate"/>
            </w:r>
            <w:r w:rsidR="00202F13">
              <w:rPr>
                <w:b/>
                <w:noProof/>
              </w:rPr>
              <w:t>8</w:t>
            </w:r>
            <w:r w:rsidR="00B67FFE">
              <w:rPr>
                <w:b/>
                <w:sz w:val="24"/>
                <w:szCs w:val="24"/>
              </w:rPr>
              <w:fldChar w:fldCharType="end"/>
            </w:r>
            <w:r>
              <w:rPr>
                <w:lang w:val="zh-CN"/>
              </w:rPr>
              <w:t xml:space="preserve"> / </w:t>
            </w:r>
            <w:r w:rsidR="00B67FFE">
              <w:rPr>
                <w:b/>
                <w:sz w:val="24"/>
                <w:szCs w:val="24"/>
              </w:rPr>
              <w:fldChar w:fldCharType="begin"/>
            </w:r>
            <w:r>
              <w:rPr>
                <w:b/>
              </w:rPr>
              <w:instrText>NUMPAGES</w:instrText>
            </w:r>
            <w:r w:rsidR="00B67FFE">
              <w:rPr>
                <w:b/>
                <w:sz w:val="24"/>
                <w:szCs w:val="24"/>
              </w:rPr>
              <w:fldChar w:fldCharType="separate"/>
            </w:r>
            <w:r w:rsidR="00202F13">
              <w:rPr>
                <w:b/>
                <w:noProof/>
              </w:rPr>
              <w:t>8</w:t>
            </w:r>
            <w:r w:rsidR="00B67FFE">
              <w:rPr>
                <w:b/>
                <w:sz w:val="24"/>
                <w:szCs w:val="24"/>
              </w:rPr>
              <w:fldChar w:fldCharType="end"/>
            </w:r>
          </w:p>
        </w:sdtContent>
      </w:sdt>
    </w:sdtContent>
  </w:sdt>
  <w:p w:rsidR="00FC5A53" w:rsidRDefault="0030411B" w:rsidP="00FC5A53">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3" w:rsidRDefault="0030411B" w:rsidP="00FC5A5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11B" w:rsidRDefault="0030411B" w:rsidP="00C6408D">
      <w:pPr>
        <w:ind w:firstLine="640"/>
      </w:pPr>
      <w:r>
        <w:separator/>
      </w:r>
    </w:p>
  </w:footnote>
  <w:footnote w:type="continuationSeparator" w:id="1">
    <w:p w:rsidR="0030411B" w:rsidRDefault="0030411B" w:rsidP="00C6408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3" w:rsidRDefault="0030411B" w:rsidP="00FC5A53">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3" w:rsidRDefault="0030411B" w:rsidP="00FC5A5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3" w:rsidRDefault="0030411B" w:rsidP="00FC5A5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644"/>
    <w:multiLevelType w:val="hybridMultilevel"/>
    <w:tmpl w:val="BF08179C"/>
    <w:lvl w:ilvl="0" w:tplc="6A98DC58">
      <w:start w:val="1"/>
      <w:numFmt w:val="japaneseCounting"/>
      <w:lvlText w:val="%1、"/>
      <w:lvlJc w:val="left"/>
      <w:pPr>
        <w:ind w:left="1794" w:hanging="120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59A"/>
    <w:rsid w:val="000A4C4A"/>
    <w:rsid w:val="000B7D71"/>
    <w:rsid w:val="00202F13"/>
    <w:rsid w:val="0021477A"/>
    <w:rsid w:val="00215A4E"/>
    <w:rsid w:val="002E2EDC"/>
    <w:rsid w:val="0030411B"/>
    <w:rsid w:val="00312A35"/>
    <w:rsid w:val="00327D39"/>
    <w:rsid w:val="00363084"/>
    <w:rsid w:val="0040259A"/>
    <w:rsid w:val="004164FC"/>
    <w:rsid w:val="004A02AC"/>
    <w:rsid w:val="00547EB2"/>
    <w:rsid w:val="005B55E9"/>
    <w:rsid w:val="00621E38"/>
    <w:rsid w:val="00652ADA"/>
    <w:rsid w:val="006D3C29"/>
    <w:rsid w:val="00863DC7"/>
    <w:rsid w:val="008A1E4B"/>
    <w:rsid w:val="00935567"/>
    <w:rsid w:val="0096292E"/>
    <w:rsid w:val="009A083B"/>
    <w:rsid w:val="009E762A"/>
    <w:rsid w:val="00A221D1"/>
    <w:rsid w:val="00AA271B"/>
    <w:rsid w:val="00B01185"/>
    <w:rsid w:val="00B67FFE"/>
    <w:rsid w:val="00C6408D"/>
    <w:rsid w:val="00C805EA"/>
    <w:rsid w:val="00D36F55"/>
    <w:rsid w:val="00E135E6"/>
    <w:rsid w:val="00E8087A"/>
    <w:rsid w:val="00EF5D9D"/>
    <w:rsid w:val="00F31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9A"/>
    <w:pPr>
      <w:ind w:firstLineChars="200" w:firstLine="200"/>
      <w:jc w:val="both"/>
    </w:pPr>
    <w:rPr>
      <w:rFonts w:ascii="Times New Roman" w:eastAsia="仿宋_GB2312" w:hAnsi="Times New Roman" w:cs="Times New Roman"/>
      <w:kern w:val="0"/>
      <w:sz w:val="32"/>
      <w:szCs w:val="20"/>
    </w:rPr>
  </w:style>
  <w:style w:type="paragraph" w:styleId="1">
    <w:name w:val="heading 1"/>
    <w:basedOn w:val="a"/>
    <w:next w:val="a"/>
    <w:link w:val="1Char"/>
    <w:qFormat/>
    <w:rsid w:val="0040259A"/>
    <w:pPr>
      <w:keepNext/>
      <w:keepLines/>
      <w:ind w:firstLineChars="0" w:firstLine="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59A"/>
    <w:rPr>
      <w:rFonts w:ascii="Times New Roman" w:eastAsia="黑体" w:hAnsi="Times New Roman" w:cs="Times New Roman"/>
      <w:bCs/>
      <w:kern w:val="44"/>
      <w:sz w:val="32"/>
      <w:szCs w:val="44"/>
    </w:rPr>
  </w:style>
  <w:style w:type="paragraph" w:styleId="a3">
    <w:name w:val="Plain Text"/>
    <w:basedOn w:val="a"/>
    <w:link w:val="Char"/>
    <w:rsid w:val="0040259A"/>
    <w:pPr>
      <w:widowControl w:val="0"/>
    </w:pPr>
    <w:rPr>
      <w:rFonts w:ascii="宋体" w:hAnsi="Courier New"/>
      <w:kern w:val="2"/>
      <w:sz w:val="21"/>
    </w:rPr>
  </w:style>
  <w:style w:type="character" w:customStyle="1" w:styleId="Char">
    <w:name w:val="纯文本 Char"/>
    <w:basedOn w:val="a0"/>
    <w:link w:val="a3"/>
    <w:rsid w:val="0040259A"/>
    <w:rPr>
      <w:rFonts w:ascii="宋体" w:eastAsia="仿宋_GB2312" w:hAnsi="Courier New" w:cs="Times New Roman"/>
      <w:szCs w:val="20"/>
    </w:rPr>
  </w:style>
  <w:style w:type="paragraph" w:styleId="a4">
    <w:name w:val="header"/>
    <w:basedOn w:val="a"/>
    <w:link w:val="Char0"/>
    <w:rsid w:val="004025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0259A"/>
    <w:rPr>
      <w:rFonts w:ascii="Times New Roman" w:eastAsia="仿宋_GB2312" w:hAnsi="Times New Roman" w:cs="Times New Roman"/>
      <w:kern w:val="0"/>
      <w:sz w:val="18"/>
      <w:szCs w:val="18"/>
    </w:rPr>
  </w:style>
  <w:style w:type="paragraph" w:styleId="a5">
    <w:name w:val="footer"/>
    <w:basedOn w:val="a"/>
    <w:link w:val="Char1"/>
    <w:uiPriority w:val="99"/>
    <w:rsid w:val="0040259A"/>
    <w:pPr>
      <w:tabs>
        <w:tab w:val="center" w:pos="4153"/>
        <w:tab w:val="right" w:pos="8306"/>
      </w:tabs>
      <w:snapToGrid w:val="0"/>
    </w:pPr>
    <w:rPr>
      <w:sz w:val="18"/>
      <w:szCs w:val="18"/>
    </w:rPr>
  </w:style>
  <w:style w:type="character" w:customStyle="1" w:styleId="Char1">
    <w:name w:val="页脚 Char"/>
    <w:basedOn w:val="a0"/>
    <w:link w:val="a5"/>
    <w:uiPriority w:val="99"/>
    <w:rsid w:val="0040259A"/>
    <w:rPr>
      <w:rFonts w:ascii="Times New Roman" w:eastAsia="仿宋_GB2312" w:hAnsi="Times New Roman" w:cs="Times New Roman"/>
      <w:kern w:val="0"/>
      <w:sz w:val="18"/>
      <w:szCs w:val="18"/>
    </w:rPr>
  </w:style>
  <w:style w:type="paragraph" w:styleId="a6">
    <w:name w:val="List Paragraph"/>
    <w:basedOn w:val="a"/>
    <w:uiPriority w:val="34"/>
    <w:qFormat/>
    <w:rsid w:val="00C6408D"/>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477</Words>
  <Characters>2719</Characters>
  <Application>Microsoft Office Word</Application>
  <DocSecurity>0</DocSecurity>
  <Lines>22</Lines>
  <Paragraphs>6</Paragraphs>
  <ScaleCrop>false</ScaleCrop>
  <Company>China</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2017-07-04T14:35:00Z</cp:lastPrinted>
  <dcterms:created xsi:type="dcterms:W3CDTF">2017-05-25T01:04:00Z</dcterms:created>
  <dcterms:modified xsi:type="dcterms:W3CDTF">2017-07-11T01:12:00Z</dcterms:modified>
</cp:coreProperties>
</file>