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Autospacing="0" w:afterAutospacing="0"/>
        <w:rPr>
          <w:rFonts w:hint="default" w:ascii="黑体" w:eastAsia="黑体"/>
          <w:b w:val="0"/>
          <w:kern w:val="2"/>
          <w:sz w:val="32"/>
          <w:szCs w:val="32"/>
        </w:rPr>
      </w:pPr>
      <w:r>
        <w:rPr>
          <w:rFonts w:ascii="黑体" w:eastAsia="黑体"/>
          <w:b w:val="0"/>
          <w:kern w:val="2"/>
          <w:sz w:val="32"/>
          <w:szCs w:val="32"/>
        </w:rPr>
        <w:t>附件：</w:t>
      </w:r>
    </w:p>
    <w:p>
      <w:pPr>
        <w:pStyle w:val="2"/>
        <w:widowControl/>
        <w:spacing w:beforeAutospacing="0" w:afterAutospacing="0" w:line="800" w:lineRule="exact"/>
        <w:jc w:val="center"/>
        <w:rPr>
          <w:rFonts w:hint="default" w:ascii="方正小标宋简体" w:eastAsia="方正小标宋简体"/>
          <w:b w:val="0"/>
          <w:kern w:val="2"/>
          <w:sz w:val="44"/>
          <w:szCs w:val="44"/>
        </w:rPr>
      </w:pPr>
      <w:r>
        <w:rPr>
          <w:rFonts w:ascii="方正小标宋简体" w:eastAsia="方正小标宋简体"/>
          <w:b w:val="0"/>
          <w:kern w:val="2"/>
          <w:sz w:val="44"/>
          <w:szCs w:val="44"/>
        </w:rPr>
        <w:t>华南理工大学广州学院学位论文</w:t>
      </w:r>
    </w:p>
    <w:p>
      <w:pPr>
        <w:pStyle w:val="2"/>
        <w:widowControl/>
        <w:spacing w:beforeAutospacing="0" w:afterAutospacing="0" w:line="800" w:lineRule="exact"/>
        <w:jc w:val="center"/>
        <w:rPr>
          <w:rFonts w:hint="default" w:ascii="方正小标宋简体" w:eastAsia="方正小标宋简体"/>
          <w:b w:val="0"/>
          <w:kern w:val="2"/>
          <w:sz w:val="44"/>
          <w:szCs w:val="44"/>
        </w:rPr>
      </w:pPr>
      <w:r>
        <w:rPr>
          <w:rFonts w:ascii="方正小标宋简体" w:eastAsia="方正小标宋简体"/>
          <w:b w:val="0"/>
          <w:kern w:val="2"/>
          <w:sz w:val="44"/>
          <w:szCs w:val="44"/>
        </w:rPr>
        <w:t>作假行为处理办法实施细则</w:t>
      </w:r>
    </w:p>
    <w:p>
      <w:pPr>
        <w:pStyle w:val="2"/>
        <w:widowControl/>
        <w:spacing w:beforeAutospacing="0" w:afterAutospacing="0" w:line="800" w:lineRule="exact"/>
        <w:jc w:val="center"/>
        <w:rPr>
          <w:rFonts w:ascii="方正小标宋简体" w:eastAsia="方正小标宋简体"/>
          <w:b w:val="0"/>
          <w:kern w:val="2"/>
          <w:sz w:val="44"/>
          <w:szCs w:val="44"/>
        </w:rPr>
      </w:pPr>
      <w:r>
        <w:rPr>
          <w:rFonts w:ascii="方正小标宋简体" w:eastAsia="方正小标宋简体"/>
          <w:b w:val="0"/>
          <w:kern w:val="2"/>
          <w:sz w:val="44"/>
          <w:szCs w:val="44"/>
        </w:rPr>
        <w:t>（2019年修订）</w:t>
      </w:r>
    </w:p>
    <w:p/>
    <w:p>
      <w:pPr>
        <w:pStyle w:val="5"/>
        <w:widowControl/>
        <w:spacing w:line="288" w:lineRule="atLeast"/>
        <w:ind w:firstLine="444"/>
        <w:jc w:val="center"/>
        <w:rPr>
          <w:rFonts w:ascii="微软雅黑" w:hAnsi="微软雅黑" w:eastAsia="微软雅黑" w:cs="微软雅黑"/>
          <w:color w:val="000000"/>
          <w:sz w:val="27"/>
          <w:szCs w:val="27"/>
        </w:rPr>
      </w:pPr>
      <w:r>
        <w:rPr>
          <w:rFonts w:hint="eastAsia" w:ascii="黑体" w:hAnsi="宋体" w:eastAsia="黑体"/>
          <w:kern w:val="2"/>
          <w:sz w:val="32"/>
          <w:szCs w:val="32"/>
        </w:rPr>
        <w:t>第一章  总 则</w:t>
      </w:r>
    </w:p>
    <w:p>
      <w:pPr>
        <w:pStyle w:val="5"/>
        <w:widowControl/>
        <w:spacing w:beforeAutospacing="0" w:afterAutospacing="0" w:line="600" w:lineRule="exact"/>
        <w:ind w:firstLine="442"/>
        <w:rPr>
          <w:rFonts w:ascii="仿宋_GB2312" w:hAnsi="宋体" w:eastAsia="仿宋_GB2312"/>
          <w:kern w:val="2"/>
          <w:sz w:val="32"/>
          <w:szCs w:val="32"/>
        </w:rPr>
      </w:pPr>
      <w:r>
        <w:rPr>
          <w:rFonts w:hint="eastAsia" w:ascii="仿宋_GB2312" w:hAnsi="宋体" w:eastAsia="仿宋_GB2312"/>
          <w:kern w:val="2"/>
          <w:sz w:val="32"/>
          <w:szCs w:val="32"/>
        </w:rPr>
        <w:t>第一条  为加强学生学术道德建设，规范我校学位论文管理，树立严谨求实学风，提高人才培养质量，根据教育部《学位论文作假行为处理办法》（教育部令第34号），制</w:t>
      </w:r>
      <w:bookmarkStart w:id="0" w:name="OLE_LINK2"/>
      <w:bookmarkEnd w:id="0"/>
      <w:r>
        <w:rPr>
          <w:rFonts w:hint="eastAsia" w:ascii="仿宋_GB2312" w:hAnsi="宋体" w:eastAsia="仿宋_GB2312"/>
          <w:kern w:val="2"/>
          <w:sz w:val="32"/>
          <w:szCs w:val="32"/>
        </w:rPr>
        <w:t>定本实施细则。</w:t>
      </w:r>
    </w:p>
    <w:p>
      <w:pPr>
        <w:pStyle w:val="5"/>
        <w:widowControl/>
        <w:spacing w:beforeAutospacing="0" w:afterAutospacing="0" w:line="600" w:lineRule="exact"/>
        <w:ind w:firstLine="442"/>
        <w:rPr>
          <w:rFonts w:ascii="仿宋_GB2312" w:hAnsi="宋体" w:eastAsia="仿宋_GB2312"/>
          <w:kern w:val="2"/>
          <w:sz w:val="32"/>
          <w:szCs w:val="32"/>
        </w:rPr>
      </w:pPr>
      <w:r>
        <w:rPr>
          <w:rFonts w:hint="eastAsia" w:ascii="仿宋_GB2312" w:hAnsi="宋体" w:eastAsia="仿宋_GB2312"/>
          <w:kern w:val="2"/>
          <w:sz w:val="32"/>
          <w:szCs w:val="32"/>
        </w:rPr>
        <w:t>第二条  本科学生的毕业设计、毕业论文或其他毕业实习环节统称为学位论文，其学位论文出现本细则所列作假情形的，依照本细则处理。</w:t>
      </w:r>
    </w:p>
    <w:p>
      <w:pPr>
        <w:pStyle w:val="5"/>
        <w:widowControl/>
        <w:spacing w:beforeAutospacing="0" w:afterAutospacing="0" w:line="600" w:lineRule="exact"/>
        <w:ind w:firstLine="442"/>
        <w:rPr>
          <w:rFonts w:ascii="仿宋_GB2312" w:hAnsi="宋体" w:eastAsia="仿宋_GB2312"/>
          <w:kern w:val="2"/>
          <w:sz w:val="32"/>
          <w:szCs w:val="32"/>
        </w:rPr>
      </w:pPr>
      <w:r>
        <w:rPr>
          <w:rFonts w:hint="eastAsia" w:ascii="仿宋_GB2312" w:hAnsi="宋体" w:eastAsia="仿宋_GB2312"/>
          <w:kern w:val="2"/>
          <w:sz w:val="32"/>
          <w:szCs w:val="32"/>
        </w:rPr>
        <w:t>第三条  本科学位论文阶段是学校实现人才培养目标的重要环节，是培养学生创新意识和创新能力的重要手段，是学生理论学习和实践活动相结合的重要体现，所有学生应当恪守学术道德和学术规范，在指导教师指导下独立完成其学位论文。</w:t>
      </w:r>
    </w:p>
    <w:p>
      <w:pPr>
        <w:pStyle w:val="5"/>
        <w:widowControl/>
        <w:spacing w:beforeAutospacing="0" w:afterAutospacing="0" w:line="600" w:lineRule="exact"/>
        <w:ind w:firstLine="442"/>
        <w:rPr>
          <w:rFonts w:ascii="仿宋_GB2312" w:hAnsi="宋体" w:eastAsia="仿宋_GB2312"/>
          <w:kern w:val="2"/>
          <w:sz w:val="32"/>
          <w:szCs w:val="32"/>
        </w:rPr>
      </w:pPr>
      <w:r>
        <w:rPr>
          <w:rFonts w:hint="eastAsia" w:ascii="仿宋_GB2312" w:hAnsi="宋体" w:eastAsia="仿宋_GB2312"/>
          <w:kern w:val="2"/>
          <w:sz w:val="32"/>
          <w:szCs w:val="32"/>
        </w:rPr>
        <w:t>第四条  指导教师应当对所指导学生进行学术道德、学术规范教育，对其学位论文的研究和撰写过程予以指导，对学位论文是否由其独立完成进行审查。</w:t>
      </w:r>
    </w:p>
    <w:p>
      <w:pPr>
        <w:pStyle w:val="5"/>
        <w:widowControl/>
        <w:spacing w:beforeAutospacing="0" w:afterAutospacing="0" w:line="600" w:lineRule="exact"/>
        <w:ind w:firstLine="442"/>
        <w:rPr>
          <w:rFonts w:ascii="仿宋_GB2312" w:hAnsi="宋体" w:eastAsia="仿宋_GB2312"/>
          <w:kern w:val="2"/>
          <w:sz w:val="32"/>
          <w:szCs w:val="32"/>
        </w:rPr>
      </w:pPr>
      <w:r>
        <w:rPr>
          <w:rFonts w:hint="eastAsia" w:ascii="仿宋_GB2312" w:hAnsi="宋体" w:eastAsia="仿宋_GB2312"/>
          <w:kern w:val="2"/>
          <w:sz w:val="32"/>
          <w:szCs w:val="32"/>
        </w:rPr>
        <w:t>第五条  各二级学院应当加强学术诚信建设，健全学位论文审查制度，明确责任、规范程序，审核学位论文的真实性、原创性。</w:t>
      </w:r>
    </w:p>
    <w:p>
      <w:pPr>
        <w:pStyle w:val="5"/>
        <w:widowControl/>
        <w:spacing w:line="288" w:lineRule="atLeast"/>
        <w:ind w:firstLine="444"/>
        <w:rPr>
          <w:rFonts w:ascii="仿宋_GB2312" w:hAnsi="宋体" w:eastAsia="仿宋_GB2312"/>
          <w:kern w:val="2"/>
          <w:sz w:val="32"/>
          <w:szCs w:val="32"/>
        </w:rPr>
      </w:pPr>
      <w:r>
        <w:rPr>
          <w:rFonts w:hint="eastAsia" w:ascii="仿宋_GB2312" w:hAnsi="宋体" w:eastAsia="仿宋_GB2312"/>
          <w:kern w:val="2"/>
          <w:sz w:val="32"/>
          <w:szCs w:val="32"/>
        </w:rPr>
        <w:t> </w:t>
      </w:r>
    </w:p>
    <w:p>
      <w:pPr>
        <w:pStyle w:val="5"/>
        <w:widowControl/>
        <w:spacing w:line="288" w:lineRule="atLeast"/>
        <w:jc w:val="center"/>
        <w:rPr>
          <w:rFonts w:ascii="仿宋_GB2312" w:hAnsi="宋体" w:eastAsia="仿宋_GB2312"/>
          <w:kern w:val="2"/>
          <w:sz w:val="32"/>
          <w:szCs w:val="32"/>
        </w:rPr>
      </w:pPr>
      <w:r>
        <w:rPr>
          <w:rFonts w:hint="eastAsia" w:ascii="黑体" w:hAnsi="宋体" w:eastAsia="黑体"/>
          <w:kern w:val="2"/>
          <w:sz w:val="32"/>
          <w:szCs w:val="32"/>
        </w:rPr>
        <w:t>第二章  学位论文作假行为的认定</w:t>
      </w:r>
    </w:p>
    <w:p>
      <w:pPr>
        <w:pStyle w:val="5"/>
        <w:widowControl/>
        <w:spacing w:beforeAutospacing="0" w:afterAutospacing="0" w:line="600" w:lineRule="exact"/>
        <w:ind w:firstLine="442"/>
        <w:rPr>
          <w:rFonts w:ascii="仿宋_GB2312" w:hAnsi="宋体" w:eastAsia="仿宋_GB2312"/>
          <w:kern w:val="2"/>
          <w:sz w:val="32"/>
          <w:szCs w:val="32"/>
        </w:rPr>
      </w:pPr>
      <w:r>
        <w:rPr>
          <w:rFonts w:hint="eastAsia" w:ascii="仿宋_GB2312" w:hAnsi="宋体" w:eastAsia="仿宋_GB2312"/>
          <w:kern w:val="2"/>
          <w:sz w:val="32"/>
          <w:szCs w:val="32"/>
        </w:rPr>
        <w:t>第六条  本细则所称学位论文作假行为包括下列情形：</w:t>
      </w:r>
    </w:p>
    <w:p>
      <w:pPr>
        <w:pStyle w:val="5"/>
        <w:widowControl/>
        <w:spacing w:beforeAutospacing="0" w:afterAutospacing="0" w:line="600" w:lineRule="exact"/>
        <w:ind w:firstLine="442"/>
        <w:rPr>
          <w:rFonts w:ascii="仿宋_GB2312" w:hAnsi="宋体" w:eastAsia="仿宋_GB2312"/>
          <w:kern w:val="2"/>
          <w:sz w:val="32"/>
          <w:szCs w:val="32"/>
        </w:rPr>
      </w:pPr>
      <w:r>
        <w:rPr>
          <w:rFonts w:hint="eastAsia" w:ascii="仿宋_GB2312" w:hAnsi="宋体" w:eastAsia="仿宋_GB2312"/>
          <w:kern w:val="2"/>
          <w:sz w:val="32"/>
          <w:szCs w:val="32"/>
        </w:rPr>
        <w:t>(一)购买、出售学位论文或者组织学位论文买卖的；</w:t>
      </w:r>
    </w:p>
    <w:p>
      <w:pPr>
        <w:pStyle w:val="5"/>
        <w:widowControl/>
        <w:spacing w:beforeAutospacing="0" w:afterAutospacing="0" w:line="600" w:lineRule="exact"/>
        <w:ind w:firstLine="442"/>
        <w:rPr>
          <w:rFonts w:ascii="仿宋_GB2312" w:hAnsi="宋体" w:eastAsia="仿宋_GB2312"/>
          <w:kern w:val="2"/>
          <w:sz w:val="32"/>
          <w:szCs w:val="32"/>
        </w:rPr>
      </w:pPr>
      <w:r>
        <w:rPr>
          <w:rFonts w:hint="eastAsia" w:ascii="仿宋_GB2312" w:hAnsi="宋体" w:eastAsia="仿宋_GB2312"/>
          <w:kern w:val="2"/>
          <w:sz w:val="32"/>
          <w:szCs w:val="32"/>
        </w:rPr>
        <w:t>(二)由他人代写、为他人代写学位论文或者组织学位论文代写的；</w:t>
      </w:r>
    </w:p>
    <w:p>
      <w:pPr>
        <w:pStyle w:val="5"/>
        <w:widowControl/>
        <w:spacing w:beforeAutospacing="0" w:afterAutospacing="0" w:line="600" w:lineRule="exact"/>
        <w:ind w:firstLine="442"/>
        <w:rPr>
          <w:rFonts w:ascii="仿宋_GB2312" w:hAnsi="宋体" w:eastAsia="仿宋_GB2312"/>
          <w:kern w:val="2"/>
          <w:sz w:val="32"/>
          <w:szCs w:val="32"/>
        </w:rPr>
      </w:pPr>
      <w:r>
        <w:rPr>
          <w:rFonts w:hint="eastAsia" w:ascii="仿宋_GB2312" w:hAnsi="宋体" w:eastAsia="仿宋_GB2312"/>
          <w:kern w:val="2"/>
          <w:sz w:val="32"/>
          <w:szCs w:val="32"/>
        </w:rPr>
        <w:t>(三)剽窃他人作品和学术成果的；</w:t>
      </w:r>
    </w:p>
    <w:p>
      <w:pPr>
        <w:pStyle w:val="5"/>
        <w:widowControl/>
        <w:spacing w:beforeAutospacing="0" w:afterAutospacing="0" w:line="600" w:lineRule="exact"/>
        <w:ind w:firstLine="442"/>
        <w:rPr>
          <w:rFonts w:ascii="仿宋_GB2312" w:hAnsi="宋体" w:eastAsia="仿宋_GB2312"/>
          <w:kern w:val="2"/>
          <w:sz w:val="32"/>
          <w:szCs w:val="32"/>
        </w:rPr>
      </w:pPr>
      <w:r>
        <w:rPr>
          <w:rFonts w:hint="eastAsia" w:ascii="仿宋_GB2312" w:hAnsi="宋体" w:eastAsia="仿宋_GB2312"/>
          <w:kern w:val="2"/>
          <w:sz w:val="32"/>
          <w:szCs w:val="32"/>
        </w:rPr>
        <w:t>(四)伪造数据的；</w:t>
      </w:r>
    </w:p>
    <w:p>
      <w:pPr>
        <w:pStyle w:val="5"/>
        <w:widowControl/>
        <w:spacing w:beforeAutospacing="0" w:afterAutospacing="0" w:line="600" w:lineRule="exact"/>
        <w:ind w:firstLine="442"/>
        <w:rPr>
          <w:rFonts w:ascii="仿宋_GB2312" w:hAnsi="宋体" w:eastAsia="仿宋_GB2312"/>
          <w:kern w:val="2"/>
          <w:sz w:val="32"/>
          <w:szCs w:val="32"/>
        </w:rPr>
      </w:pPr>
      <w:r>
        <w:rPr>
          <w:rFonts w:hint="eastAsia" w:ascii="仿宋_GB2312" w:hAnsi="宋体" w:eastAsia="仿宋_GB2312"/>
          <w:kern w:val="2"/>
          <w:sz w:val="32"/>
          <w:szCs w:val="32"/>
        </w:rPr>
        <w:t>(五)有其他严重学位论文作假行为的。</w:t>
      </w:r>
    </w:p>
    <w:p>
      <w:pPr>
        <w:pStyle w:val="5"/>
        <w:widowControl/>
        <w:spacing w:line="288" w:lineRule="atLeast"/>
        <w:ind w:firstLine="444"/>
        <w:rPr>
          <w:rFonts w:ascii="仿宋_GB2312" w:hAnsi="宋体" w:eastAsia="仿宋_GB2312"/>
          <w:kern w:val="2"/>
          <w:sz w:val="32"/>
          <w:szCs w:val="32"/>
        </w:rPr>
      </w:pPr>
      <w:r>
        <w:rPr>
          <w:rFonts w:hint="eastAsia" w:ascii="仿宋_GB2312" w:hAnsi="宋体" w:eastAsia="仿宋_GB2312"/>
          <w:kern w:val="2"/>
          <w:sz w:val="32"/>
          <w:szCs w:val="32"/>
        </w:rPr>
        <w:t> </w:t>
      </w:r>
    </w:p>
    <w:p>
      <w:pPr>
        <w:pStyle w:val="5"/>
        <w:widowControl/>
        <w:spacing w:line="288" w:lineRule="atLeast"/>
        <w:jc w:val="center"/>
        <w:rPr>
          <w:rFonts w:ascii="仿宋_GB2312" w:hAnsi="宋体" w:eastAsia="仿宋_GB2312"/>
          <w:kern w:val="2"/>
          <w:sz w:val="32"/>
          <w:szCs w:val="32"/>
        </w:rPr>
      </w:pPr>
      <w:r>
        <w:rPr>
          <w:rFonts w:hint="eastAsia" w:ascii="黑体" w:hAnsi="宋体" w:eastAsia="黑体"/>
          <w:kern w:val="2"/>
          <w:sz w:val="32"/>
          <w:szCs w:val="32"/>
        </w:rPr>
        <w:t>第三章  认定机构及程序</w:t>
      </w:r>
    </w:p>
    <w:p>
      <w:pPr>
        <w:pStyle w:val="5"/>
        <w:widowControl/>
        <w:spacing w:beforeAutospacing="0" w:afterAutospacing="0" w:line="600" w:lineRule="exact"/>
        <w:ind w:firstLine="442"/>
        <w:rPr>
          <w:rFonts w:ascii="仿宋_GB2312" w:hAnsi="宋体" w:eastAsia="仿宋_GB2312"/>
          <w:kern w:val="2"/>
          <w:sz w:val="32"/>
          <w:szCs w:val="32"/>
        </w:rPr>
      </w:pPr>
      <w:r>
        <w:rPr>
          <w:rFonts w:hint="eastAsia" w:ascii="仿宋_GB2312" w:hAnsi="宋体" w:eastAsia="仿宋_GB2312"/>
          <w:kern w:val="2"/>
          <w:sz w:val="32"/>
          <w:szCs w:val="32"/>
        </w:rPr>
        <w:t>第七条  各二级学院学术分委员会负责本院本科生学位论文作假行为的初审认定。学校学位评定委员会根据二级学院学术分委员会认定做出决定并解决复议及存在争议事宜。</w:t>
      </w:r>
    </w:p>
    <w:p>
      <w:pPr>
        <w:pStyle w:val="5"/>
        <w:widowControl/>
        <w:spacing w:beforeAutospacing="0" w:afterAutospacing="0" w:line="600" w:lineRule="exact"/>
        <w:ind w:firstLine="442"/>
        <w:rPr>
          <w:rFonts w:ascii="仿宋_GB2312" w:hAnsi="宋体" w:eastAsia="仿宋_GB2312"/>
          <w:kern w:val="2"/>
          <w:sz w:val="32"/>
          <w:szCs w:val="32"/>
        </w:rPr>
      </w:pPr>
      <w:r>
        <w:rPr>
          <w:rFonts w:hint="eastAsia" w:ascii="仿宋_GB2312" w:hAnsi="宋体" w:eastAsia="仿宋_GB2312"/>
          <w:kern w:val="2"/>
          <w:sz w:val="32"/>
          <w:szCs w:val="32"/>
        </w:rPr>
        <w:t>第八条  发现涉嫌作假的学位论文，二级学院应</w:t>
      </w:r>
      <w:bookmarkStart w:id="1" w:name="OLE_LINK6"/>
      <w:bookmarkEnd w:id="1"/>
      <w:r>
        <w:rPr>
          <w:rFonts w:hint="eastAsia" w:ascii="仿宋_GB2312" w:hAnsi="宋体" w:eastAsia="仿宋_GB2312"/>
          <w:kern w:val="2"/>
          <w:sz w:val="32"/>
          <w:szCs w:val="32"/>
        </w:rPr>
        <w:t>将该学位论文提交相关的学术分委员会进行调查核实，学院学术分委员会将调查核实的相关材料报送教务处，由教务处提交学校学位评定委员会做出决定。</w:t>
      </w:r>
    </w:p>
    <w:p>
      <w:pPr>
        <w:pStyle w:val="5"/>
        <w:widowControl/>
        <w:spacing w:beforeAutospacing="0" w:afterAutospacing="0" w:line="600" w:lineRule="exact"/>
        <w:ind w:firstLine="442"/>
        <w:rPr>
          <w:rFonts w:ascii="仿宋_GB2312" w:hAnsi="宋体" w:eastAsia="仿宋_GB2312"/>
          <w:kern w:val="2"/>
          <w:sz w:val="32"/>
          <w:szCs w:val="32"/>
        </w:rPr>
      </w:pPr>
      <w:r>
        <w:rPr>
          <w:rFonts w:hint="eastAsia" w:ascii="仿宋_GB2312" w:hAnsi="宋体" w:eastAsia="仿宋_GB2312"/>
          <w:kern w:val="2"/>
          <w:sz w:val="32"/>
          <w:szCs w:val="32"/>
        </w:rPr>
        <w:t>第九条  对学位申请人员、指导教师及其他有关人员做出处理决定前，应当告知并听取当事人的陈述和申辩。</w:t>
      </w:r>
    </w:p>
    <w:p>
      <w:pPr>
        <w:pStyle w:val="5"/>
        <w:widowControl/>
        <w:spacing w:beforeAutospacing="0" w:afterAutospacing="0" w:line="600" w:lineRule="exact"/>
        <w:ind w:firstLine="442"/>
        <w:rPr>
          <w:rFonts w:ascii="仿宋_GB2312" w:hAnsi="宋体" w:eastAsia="仿宋_GB2312"/>
          <w:kern w:val="2"/>
          <w:sz w:val="32"/>
          <w:szCs w:val="32"/>
        </w:rPr>
      </w:pPr>
      <w:r>
        <w:rPr>
          <w:rFonts w:hint="eastAsia" w:ascii="仿宋_GB2312" w:hAnsi="宋体" w:eastAsia="仿宋_GB2312"/>
          <w:kern w:val="2"/>
          <w:sz w:val="32"/>
          <w:szCs w:val="32"/>
        </w:rPr>
        <w:t>当事人对处理决定不服的，可在收到书面通知处理决定之日起15个工作日内，依法以书面形式向学校学位评定委员会申请复核一次，学校学位评定委员会应当在收到复核申请之日起30个工作日内做出复核决定并送达复核申请人。</w:t>
      </w:r>
    </w:p>
    <w:p>
      <w:pPr>
        <w:pStyle w:val="5"/>
        <w:widowControl/>
        <w:spacing w:line="288" w:lineRule="atLeast"/>
        <w:ind w:firstLine="444"/>
        <w:rPr>
          <w:rFonts w:ascii="仿宋_GB2312" w:hAnsi="宋体" w:eastAsia="仿宋_GB2312"/>
          <w:kern w:val="2"/>
          <w:sz w:val="32"/>
          <w:szCs w:val="32"/>
        </w:rPr>
      </w:pPr>
      <w:r>
        <w:rPr>
          <w:rFonts w:hint="eastAsia" w:ascii="仿宋_GB2312" w:hAnsi="宋体" w:eastAsia="仿宋_GB2312"/>
          <w:kern w:val="2"/>
          <w:sz w:val="32"/>
          <w:szCs w:val="32"/>
        </w:rPr>
        <w:t> </w:t>
      </w:r>
    </w:p>
    <w:p>
      <w:pPr>
        <w:pStyle w:val="5"/>
        <w:widowControl/>
        <w:spacing w:line="288" w:lineRule="atLeast"/>
        <w:jc w:val="center"/>
        <w:rPr>
          <w:rFonts w:ascii="仿宋_GB2312" w:hAnsi="宋体" w:eastAsia="仿宋_GB2312"/>
          <w:kern w:val="2"/>
          <w:sz w:val="32"/>
          <w:szCs w:val="32"/>
        </w:rPr>
      </w:pPr>
      <w:r>
        <w:rPr>
          <w:rFonts w:hint="eastAsia" w:ascii="黑体" w:hAnsi="宋体" w:eastAsia="黑体"/>
          <w:kern w:val="2"/>
          <w:sz w:val="32"/>
          <w:szCs w:val="32"/>
        </w:rPr>
        <w:t>第四章  对学位论文作假行为的处理</w:t>
      </w:r>
    </w:p>
    <w:p>
      <w:pPr>
        <w:pStyle w:val="5"/>
        <w:widowControl/>
        <w:spacing w:beforeAutospacing="0" w:afterAutospacing="0" w:line="600" w:lineRule="exact"/>
        <w:ind w:firstLine="444"/>
        <w:rPr>
          <w:rFonts w:ascii="仿宋_GB2312" w:hAnsi="宋体" w:eastAsia="仿宋_GB2312"/>
          <w:kern w:val="2"/>
          <w:sz w:val="32"/>
          <w:szCs w:val="32"/>
        </w:rPr>
      </w:pPr>
      <w:r>
        <w:rPr>
          <w:rFonts w:hint="eastAsia" w:ascii="仿宋_GB2312" w:hAnsi="宋体" w:eastAsia="仿宋_GB2312"/>
          <w:kern w:val="2"/>
          <w:sz w:val="32"/>
          <w:szCs w:val="32"/>
        </w:rPr>
        <w:t>第十条  在校本科学生的学位论文出现购买、由他人代写、剽窃或者伪造数据等情形的，学校可以取消其学位申请资格，情节严重的开除学籍；已经毕业获得学位的，学校依法撤销其学位、注销学位证书并向社会公布处理决定。</w:t>
      </w:r>
    </w:p>
    <w:p>
      <w:pPr>
        <w:pStyle w:val="5"/>
        <w:widowControl/>
        <w:spacing w:beforeAutospacing="0" w:afterAutospacing="0" w:line="600" w:lineRule="exact"/>
        <w:ind w:firstLine="444"/>
        <w:rPr>
          <w:rFonts w:ascii="仿宋_GB2312" w:hAnsi="宋体" w:eastAsia="仿宋_GB2312"/>
          <w:kern w:val="2"/>
          <w:sz w:val="32"/>
          <w:szCs w:val="32"/>
        </w:rPr>
      </w:pPr>
      <w:r>
        <w:rPr>
          <w:rFonts w:hint="eastAsia" w:ascii="仿宋_GB2312" w:hAnsi="宋体" w:eastAsia="仿宋_GB2312"/>
          <w:kern w:val="2"/>
          <w:sz w:val="32"/>
          <w:szCs w:val="32"/>
        </w:rPr>
        <w:t>第十一条  为他人代写学位论文、出售学位论文或者组织学位论文买卖、代写的人员，属于在读学生的，学校可以给予开除学籍处分；属于华南理工大学广州学院教师和其他工作人员，学校可以给予开除处分或者解除聘任合同。</w:t>
      </w:r>
    </w:p>
    <w:p>
      <w:pPr>
        <w:pStyle w:val="5"/>
        <w:widowControl/>
        <w:spacing w:beforeAutospacing="0" w:afterAutospacing="0" w:line="600" w:lineRule="exact"/>
        <w:ind w:firstLine="444"/>
        <w:rPr>
          <w:rFonts w:ascii="仿宋_GB2312" w:hAnsi="宋体" w:eastAsia="仿宋_GB2312"/>
          <w:kern w:val="2"/>
          <w:sz w:val="32"/>
          <w:szCs w:val="32"/>
        </w:rPr>
      </w:pPr>
      <w:r>
        <w:rPr>
          <w:rFonts w:hint="eastAsia" w:ascii="仿宋_GB2312" w:hAnsi="宋体" w:eastAsia="仿宋_GB2312"/>
          <w:kern w:val="2"/>
          <w:sz w:val="32"/>
          <w:szCs w:val="32"/>
        </w:rPr>
        <w:t>第十二条  指导教师未履行学术道德和学术规范教育、论文指导和审查把关等职责，其指导的学位论文存在作假情形的，学校将视责任轻重情况根据相关教学事故认定与处理实施办法的规定执行。</w:t>
      </w:r>
    </w:p>
    <w:p>
      <w:pPr>
        <w:pStyle w:val="5"/>
        <w:widowControl/>
        <w:spacing w:beforeAutospacing="0" w:afterAutospacing="0" w:line="600" w:lineRule="exact"/>
        <w:ind w:firstLine="442"/>
        <w:rPr>
          <w:rFonts w:ascii="仿宋_GB2312" w:hAnsi="宋体" w:eastAsia="仿宋_GB2312"/>
          <w:kern w:val="2"/>
          <w:sz w:val="32"/>
          <w:szCs w:val="32"/>
        </w:rPr>
      </w:pPr>
      <w:r>
        <w:rPr>
          <w:rFonts w:hint="eastAsia" w:ascii="仿宋_GB2312" w:hAnsi="宋体" w:eastAsia="仿宋_GB2312"/>
          <w:kern w:val="2"/>
          <w:sz w:val="32"/>
          <w:szCs w:val="32"/>
        </w:rPr>
        <w:t>第十三条  学校将各学院学位论文审查情况纳入其年度考核内容。多次出现学位论文作假或者学位论文作假行为影响恶劣的，学校可对该学院予以通报批评，并给予该学院负责人相应的处分。</w:t>
      </w:r>
    </w:p>
    <w:p>
      <w:pPr>
        <w:pStyle w:val="5"/>
        <w:widowControl/>
        <w:spacing w:beforeAutospacing="0" w:afterAutospacing="0" w:line="600" w:lineRule="exact"/>
        <w:ind w:firstLine="442"/>
        <w:rPr>
          <w:rFonts w:ascii="仿宋_GB2312" w:hAnsi="宋体" w:eastAsia="仿宋_GB2312"/>
          <w:kern w:val="2"/>
          <w:sz w:val="32"/>
          <w:szCs w:val="32"/>
        </w:rPr>
      </w:pPr>
    </w:p>
    <w:p>
      <w:pPr>
        <w:pStyle w:val="2"/>
        <w:widowControl/>
        <w:spacing w:beforeAutospacing="0" w:afterAutospacing="0" w:line="600" w:lineRule="exact"/>
        <w:rPr>
          <w:rFonts w:hint="default" w:ascii="仿宋_GB2312" w:eastAsia="仿宋_GB2312"/>
          <w:b w:val="0"/>
          <w:color w:val="FF0000"/>
          <w:kern w:val="2"/>
          <w:sz w:val="32"/>
          <w:szCs w:val="32"/>
        </w:rPr>
      </w:pPr>
      <w:r>
        <w:rPr>
          <w:rFonts w:ascii="仿宋_GB2312" w:eastAsia="仿宋_GB2312"/>
          <w:b w:val="0"/>
          <w:kern w:val="2"/>
          <w:sz w:val="32"/>
          <w:szCs w:val="32"/>
        </w:rPr>
        <w:t xml:space="preserve">    第十四条  本细则自公布之日起施行。</w:t>
      </w:r>
      <w:r>
        <w:rPr>
          <w:rFonts w:ascii="仿宋_GB2312" w:eastAsia="仿宋_GB2312"/>
          <w:b w:val="0"/>
          <w:color w:val="000000" w:themeColor="text1"/>
          <w:kern w:val="2"/>
          <w:sz w:val="32"/>
          <w:szCs w:val="32"/>
          <w14:textFill>
            <w14:solidFill>
              <w14:schemeClr w14:val="tx1"/>
            </w14:solidFill>
          </w14:textFill>
        </w:rPr>
        <w:t>原《华南理工大学广州学院学位论文作假行为处理办法实施细则》同时废止，未尽事宜由教务处负责解释。</w:t>
      </w:r>
    </w:p>
    <w:p>
      <w:pPr>
        <w:pStyle w:val="5"/>
        <w:widowControl/>
        <w:spacing w:beforeAutospacing="0" w:afterAutospacing="0" w:line="600" w:lineRule="exact"/>
        <w:ind w:firstLine="320" w:firstLineChars="100"/>
        <w:rPr>
          <w:rFonts w:ascii="仿宋_GB2312" w:hAnsi="宋体" w:eastAsia="仿宋_GB2312"/>
          <w:kern w:val="2"/>
          <w:sz w:val="32"/>
          <w:szCs w:val="32"/>
        </w:rPr>
      </w:pPr>
      <w:bookmarkStart w:id="2" w:name="_GoBack"/>
      <w:bookmarkEnd w:id="2"/>
    </w:p>
    <w:sectPr>
      <w:footerReference r:id="rId3" w:type="default"/>
      <w:footerReference r:id="rId4"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972735"/>
      <w:docPartObj>
        <w:docPartGallery w:val="AutoText"/>
      </w:docPartObj>
    </w:sdtPr>
    <w:sdtContent>
      <w:p>
        <w:pPr>
          <w:pStyle w:val="3"/>
          <w:jc w:val="right"/>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1 -</w:t>
        </w:r>
        <w:r>
          <w:rPr>
            <w:rFonts w:ascii="宋体" w:hAnsi="宋体" w:eastAsia="宋体"/>
            <w:sz w:val="28"/>
            <w:szCs w:val="28"/>
          </w:rPr>
          <w:fldChar w:fldCharType="end"/>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972739"/>
      <w:docPartObj>
        <w:docPartGallery w:val="AutoText"/>
      </w:docPartObj>
    </w:sdtPr>
    <w:sdtContent>
      <w:p>
        <w:pPr>
          <w:pStyle w:val="3"/>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2 -</w:t>
        </w:r>
        <w:r>
          <w:rPr>
            <w:rFonts w:ascii="宋体" w:hAnsi="宋体" w:eastAsia="宋体"/>
            <w:sz w:val="28"/>
            <w:szCs w:val="28"/>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AA68CA"/>
    <w:rsid w:val="00027F20"/>
    <w:rsid w:val="00597925"/>
    <w:rsid w:val="005B2A85"/>
    <w:rsid w:val="00770F9B"/>
    <w:rsid w:val="009E02B4"/>
    <w:rsid w:val="00AA68CA"/>
    <w:rsid w:val="00B81A52"/>
    <w:rsid w:val="00D12EB2"/>
    <w:rsid w:val="00F80F99"/>
    <w:rsid w:val="0CF10E11"/>
    <w:rsid w:val="18684450"/>
    <w:rsid w:val="188E19C9"/>
    <w:rsid w:val="18D922DF"/>
    <w:rsid w:val="19A35D35"/>
    <w:rsid w:val="2745004D"/>
    <w:rsid w:val="33CB6122"/>
    <w:rsid w:val="602C1495"/>
    <w:rsid w:val="60316689"/>
    <w:rsid w:val="60813F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spacing w:beforeAutospacing="1" w:afterAutospacing="1"/>
      <w:jc w:val="left"/>
      <w:outlineLvl w:val="3"/>
    </w:pPr>
    <w:rPr>
      <w:rFonts w:hint="eastAsia" w:ascii="宋体" w:hAnsi="宋体" w:eastAsia="宋体" w:cs="Times New Roman"/>
      <w:b/>
      <w:kern w:val="0"/>
      <w:sz w:val="24"/>
    </w:rPr>
  </w:style>
  <w:style w:type="character" w:default="1" w:styleId="6">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customStyle="1" w:styleId="9">
    <w:name w:val="页眉 Char"/>
    <w:basedOn w:val="6"/>
    <w:link w:val="4"/>
    <w:qFormat/>
    <w:uiPriority w:val="0"/>
    <w:rPr>
      <w:rFonts w:asciiTheme="minorHAnsi" w:hAnsiTheme="minorHAnsi" w:eastAsiaTheme="minorEastAsia" w:cstheme="minorBidi"/>
      <w:kern w:val="2"/>
      <w:sz w:val="18"/>
      <w:szCs w:val="18"/>
    </w:rPr>
  </w:style>
  <w:style w:type="character" w:customStyle="1" w:styleId="10">
    <w:name w:val="页脚 Char"/>
    <w:basedOn w:val="6"/>
    <w:link w:val="3"/>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Pages>
  <Words>207</Words>
  <Characters>1182</Characters>
  <Lines>9</Lines>
  <Paragraphs>2</Paragraphs>
  <TotalTime>25</TotalTime>
  <ScaleCrop>false</ScaleCrop>
  <LinksUpToDate>false</LinksUpToDate>
  <CharactersWithSpaces>1387</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Chivasyan</dc:creator>
  <cp:lastModifiedBy>chivasyan</cp:lastModifiedBy>
  <cp:lastPrinted>2019-01-03T02:29:35Z</cp:lastPrinted>
  <dcterms:modified xsi:type="dcterms:W3CDTF">2019-01-03T02:36:49Z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y fmtid="{D5CDD505-2E9C-101B-9397-08002B2CF9AE}" pid="3" name="KSORubyTemplateID" linkTarget="0">
    <vt:lpwstr>6</vt:lpwstr>
  </property>
</Properties>
</file>